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08BD5E">
      <w:pPr>
        <w:rPr>
          <w:rFonts w:hint="eastAsia" w:ascii="宋体" w:hAnsi="宋体" w:eastAsia="宋体"/>
        </w:rPr>
      </w:pPr>
    </w:p>
    <w:p w14:paraId="792E3C72">
      <w:pPr>
        <w:rPr>
          <w:rFonts w:hint="eastAsia" w:ascii="宋体" w:hAnsi="宋体" w:eastAsia="宋体"/>
        </w:rPr>
      </w:pPr>
    </w:p>
    <w:p w14:paraId="740087CD">
      <w:pPr>
        <w:rPr>
          <w:rFonts w:hint="eastAsia" w:ascii="宋体" w:hAnsi="宋体" w:eastAsia="宋体"/>
        </w:rPr>
      </w:pPr>
    </w:p>
    <w:p w14:paraId="5D23C4C4">
      <w:pPr>
        <w:jc w:val="center"/>
        <w:rPr>
          <w:rFonts w:hint="eastAsia" w:ascii="黑体" w:hAnsi="黑体" w:eastAsia="黑体"/>
          <w:sz w:val="44"/>
          <w:szCs w:val="44"/>
        </w:rPr>
      </w:pPr>
      <w:r>
        <w:rPr>
          <w:rFonts w:hint="eastAsia" w:ascii="黑体" w:hAnsi="黑体" w:eastAsia="黑体"/>
          <w:sz w:val="44"/>
          <w:szCs w:val="44"/>
          <w:lang w:eastAsia="zh-CN"/>
        </w:rPr>
        <w:t>泉州市</w:t>
      </w:r>
      <w:r>
        <w:rPr>
          <w:rFonts w:hint="eastAsia" w:ascii="黑体" w:hAnsi="黑体" w:eastAsia="黑体"/>
          <w:sz w:val="44"/>
          <w:szCs w:val="44"/>
        </w:rPr>
        <w:t>洛江区道路交通安全专项资金</w:t>
      </w:r>
    </w:p>
    <w:p w14:paraId="4E443F86">
      <w:pPr>
        <w:jc w:val="center"/>
        <w:rPr>
          <w:rFonts w:hint="eastAsia" w:ascii="黑体" w:hAnsi="黑体" w:eastAsia="黑体"/>
          <w:sz w:val="44"/>
          <w:szCs w:val="44"/>
        </w:rPr>
      </w:pPr>
      <w:r>
        <w:rPr>
          <w:rFonts w:hint="eastAsia" w:ascii="黑体" w:hAnsi="黑体" w:eastAsia="黑体"/>
          <w:sz w:val="44"/>
          <w:szCs w:val="44"/>
        </w:rPr>
        <w:t>绩效评价报告</w:t>
      </w:r>
    </w:p>
    <w:p w14:paraId="5555A0B4">
      <w:pPr>
        <w:rPr>
          <w:rFonts w:hint="eastAsia" w:ascii="宋体" w:hAnsi="宋体" w:eastAsia="宋体"/>
        </w:rPr>
      </w:pPr>
    </w:p>
    <w:p w14:paraId="25DE3315">
      <w:pPr>
        <w:rPr>
          <w:rFonts w:hint="eastAsia" w:ascii="宋体" w:hAnsi="宋体" w:eastAsia="宋体"/>
        </w:rPr>
      </w:pPr>
    </w:p>
    <w:p w14:paraId="21F431A4">
      <w:pPr>
        <w:rPr>
          <w:rFonts w:hint="eastAsia" w:ascii="宋体" w:hAnsi="宋体" w:eastAsia="宋体"/>
        </w:rPr>
      </w:pPr>
    </w:p>
    <w:p w14:paraId="51030643">
      <w:pPr>
        <w:rPr>
          <w:rFonts w:hint="eastAsia" w:ascii="黑体" w:hAnsi="黑体" w:eastAsia="黑体"/>
          <w:sz w:val="32"/>
          <w:szCs w:val="32"/>
          <w:u w:val="single"/>
        </w:rPr>
      </w:pPr>
      <w:r>
        <w:rPr>
          <w:rFonts w:hint="eastAsia" w:ascii="黑体" w:hAnsi="黑体" w:eastAsia="黑体"/>
          <w:sz w:val="32"/>
          <w:szCs w:val="32"/>
        </w:rPr>
        <w:t>项目单位：</w:t>
      </w:r>
      <w:r>
        <w:rPr>
          <w:rFonts w:hint="eastAsia" w:ascii="黑体" w:hAnsi="黑体" w:eastAsia="黑体"/>
          <w:sz w:val="32"/>
          <w:szCs w:val="32"/>
          <w:u w:val="single"/>
        </w:rPr>
        <w:t xml:space="preserve"> 泉州市公安局交通警察支队洛江大队     </w:t>
      </w:r>
    </w:p>
    <w:p w14:paraId="7C140F41">
      <w:pPr>
        <w:rPr>
          <w:rFonts w:hint="eastAsia" w:ascii="黑体" w:hAnsi="黑体" w:eastAsia="黑体"/>
          <w:sz w:val="32"/>
          <w:szCs w:val="32"/>
          <w:u w:val="single"/>
        </w:rPr>
      </w:pPr>
      <w:r>
        <w:rPr>
          <w:rFonts w:hint="eastAsia" w:ascii="黑体" w:hAnsi="黑体" w:eastAsia="黑体"/>
          <w:sz w:val="32"/>
          <w:szCs w:val="32"/>
        </w:rPr>
        <w:t>委托单位：</w:t>
      </w:r>
      <w:r>
        <w:rPr>
          <w:rFonts w:hint="eastAsia" w:ascii="黑体" w:hAnsi="黑体" w:eastAsia="黑体"/>
          <w:sz w:val="32"/>
          <w:szCs w:val="32"/>
          <w:u w:val="single"/>
        </w:rPr>
        <w:t xml:space="preserve">            洛江区财政局              </w:t>
      </w:r>
    </w:p>
    <w:p w14:paraId="3C9AA755">
      <w:pPr>
        <w:rPr>
          <w:rFonts w:hint="eastAsia" w:ascii="黑体" w:hAnsi="黑体" w:eastAsia="黑体"/>
          <w:sz w:val="32"/>
          <w:szCs w:val="32"/>
        </w:rPr>
      </w:pPr>
      <w:r>
        <w:rPr>
          <w:rFonts w:hint="eastAsia" w:ascii="黑体" w:hAnsi="黑体" w:eastAsia="黑体"/>
          <w:sz w:val="32"/>
          <w:szCs w:val="32"/>
        </w:rPr>
        <w:t>评价机构：</w:t>
      </w:r>
      <w:r>
        <w:rPr>
          <w:rFonts w:hint="eastAsia" w:ascii="黑体" w:hAnsi="黑体" w:eastAsia="黑体"/>
          <w:sz w:val="32"/>
          <w:szCs w:val="32"/>
          <w:u w:val="single"/>
        </w:rPr>
        <w:t xml:space="preserve">     泉州市启程财务咨询有限公司       </w:t>
      </w:r>
    </w:p>
    <w:p w14:paraId="14122E77">
      <w:pPr>
        <w:rPr>
          <w:rFonts w:hint="eastAsia" w:ascii="黑体" w:hAnsi="黑体" w:eastAsia="黑体"/>
          <w:sz w:val="32"/>
          <w:szCs w:val="32"/>
          <w:u w:val="single"/>
        </w:rPr>
      </w:pPr>
      <w:r>
        <w:rPr>
          <w:rFonts w:hint="eastAsia" w:ascii="黑体" w:hAnsi="黑体" w:eastAsia="黑体"/>
          <w:sz w:val="32"/>
          <w:szCs w:val="32"/>
        </w:rPr>
        <w:t>评价时间：</w:t>
      </w:r>
      <w:r>
        <w:rPr>
          <w:rFonts w:hint="eastAsia" w:ascii="黑体" w:hAnsi="黑体" w:eastAsia="黑体"/>
          <w:sz w:val="32"/>
          <w:szCs w:val="32"/>
          <w:u w:val="single"/>
        </w:rPr>
        <w:t xml:space="preserve">            2024年1</w:t>
      </w:r>
      <w:r>
        <w:rPr>
          <w:rFonts w:hint="eastAsia" w:ascii="黑体" w:hAnsi="黑体" w:eastAsia="黑体"/>
          <w:sz w:val="32"/>
          <w:szCs w:val="32"/>
          <w:u w:val="single"/>
          <w:lang w:val="en-US" w:eastAsia="zh-CN"/>
        </w:rPr>
        <w:t>2</w:t>
      </w:r>
      <w:r>
        <w:rPr>
          <w:rFonts w:hint="eastAsia" w:ascii="黑体" w:hAnsi="黑体" w:eastAsia="黑体"/>
          <w:sz w:val="32"/>
          <w:szCs w:val="32"/>
          <w:u w:val="single"/>
        </w:rPr>
        <w:t xml:space="preserve">月              </w:t>
      </w:r>
    </w:p>
    <w:p w14:paraId="040E7C23">
      <w:pPr>
        <w:rPr>
          <w:rFonts w:hint="eastAsia" w:ascii="宋体" w:hAnsi="宋体" w:eastAsia="宋体"/>
        </w:rPr>
      </w:pPr>
    </w:p>
    <w:p w14:paraId="280DD51C">
      <w:pPr>
        <w:rPr>
          <w:rFonts w:hint="eastAsia" w:ascii="宋体" w:hAnsi="宋体" w:eastAsia="宋体"/>
        </w:rPr>
      </w:pPr>
    </w:p>
    <w:p w14:paraId="0B4F2756">
      <w:pPr>
        <w:rPr>
          <w:rFonts w:hint="eastAsia" w:ascii="宋体" w:hAnsi="宋体" w:eastAsia="宋体"/>
        </w:rPr>
      </w:pPr>
    </w:p>
    <w:p w14:paraId="7E59B302">
      <w:pPr>
        <w:rPr>
          <w:rFonts w:hint="eastAsia" w:ascii="宋体" w:hAnsi="宋体" w:eastAsia="宋体"/>
        </w:rPr>
      </w:pPr>
    </w:p>
    <w:p w14:paraId="61943235">
      <w:pPr>
        <w:rPr>
          <w:rFonts w:hint="eastAsia" w:ascii="宋体" w:hAnsi="宋体" w:eastAsia="宋体"/>
        </w:rPr>
      </w:pPr>
    </w:p>
    <w:p w14:paraId="78EBC014">
      <w:pPr>
        <w:jc w:val="center"/>
        <w:rPr>
          <w:rFonts w:hint="eastAsia" w:ascii="黑体" w:hAnsi="黑体" w:eastAsia="黑体"/>
          <w:sz w:val="32"/>
          <w:szCs w:val="32"/>
        </w:rPr>
      </w:pPr>
      <w:r>
        <w:rPr>
          <w:rFonts w:hint="eastAsia" w:ascii="黑体" w:hAnsi="黑体" w:eastAsia="黑体"/>
          <w:sz w:val="32"/>
          <w:szCs w:val="32"/>
        </w:rPr>
        <w:t>2024年1</w:t>
      </w:r>
      <w:r>
        <w:rPr>
          <w:rFonts w:hint="eastAsia" w:ascii="黑体" w:hAnsi="黑体" w:eastAsia="黑体"/>
          <w:sz w:val="32"/>
          <w:szCs w:val="32"/>
          <w:lang w:val="en-US" w:eastAsia="zh-CN"/>
        </w:rPr>
        <w:t>2</w:t>
      </w:r>
      <w:r>
        <w:rPr>
          <w:rFonts w:hint="eastAsia" w:ascii="黑体" w:hAnsi="黑体" w:eastAsia="黑体"/>
          <w:sz w:val="32"/>
          <w:szCs w:val="32"/>
        </w:rPr>
        <w:t>月</w:t>
      </w:r>
    </w:p>
    <w:p w14:paraId="01CDD286">
      <w:pPr>
        <w:pStyle w:val="261"/>
        <w:jc w:val="center"/>
        <w:rPr>
          <w:rFonts w:hint="eastAsia" w:asciiTheme="minorHAnsi" w:hAnsiTheme="minorHAnsi" w:eastAsiaTheme="minorEastAsia" w:cstheme="minorBidi"/>
          <w:color w:val="auto"/>
          <w:kern w:val="2"/>
          <w:sz w:val="22"/>
          <w:szCs w:val="24"/>
          <w:highlight w:val="yellow"/>
          <w14:ligatures w14:val="standardContextual"/>
        </w:rPr>
      </w:pPr>
    </w:p>
    <w:p w14:paraId="2A89057C">
      <w:pPr>
        <w:jc w:val="center"/>
        <w:rPr>
          <w:rFonts w:hint="eastAsia"/>
          <w:highlight w:val="yellow"/>
        </w:rPr>
      </w:pPr>
    </w:p>
    <w:p w14:paraId="5FCB2027">
      <w:pPr>
        <w:widowControl/>
        <w:spacing w:after="0" w:line="240" w:lineRule="auto"/>
        <w:rPr>
          <w:rFonts w:hint="eastAsia"/>
          <w:lang w:val="zh-CN"/>
        </w:rPr>
      </w:pPr>
    </w:p>
    <w:sdt>
      <w:sdtPr>
        <w:rPr>
          <w:rFonts w:asciiTheme="minorHAnsi" w:hAnsiTheme="minorHAnsi" w:eastAsiaTheme="minorEastAsia" w:cstheme="minorBidi"/>
          <w:color w:val="auto"/>
          <w:kern w:val="2"/>
          <w:sz w:val="22"/>
          <w:szCs w:val="24"/>
          <w:lang w:val="zh-CN"/>
          <w14:ligatures w14:val="standardContextual"/>
        </w:rPr>
        <w:id w:val="1142317531"/>
        <w:docPartObj>
          <w:docPartGallery w:val="Table of Contents"/>
          <w:docPartUnique/>
        </w:docPartObj>
      </w:sdtPr>
      <w:sdtEndPr>
        <w:rPr>
          <w:rFonts w:ascii="仿宋" w:hAnsi="仿宋" w:eastAsia="仿宋" w:cstheme="minorBidi"/>
          <w:color w:val="auto"/>
          <w:kern w:val="2"/>
          <w:sz w:val="24"/>
          <w:szCs w:val="24"/>
          <w:highlight w:val="yellow"/>
          <w:lang w:val="zh-CN"/>
          <w14:ligatures w14:val="standardContextual"/>
        </w:rPr>
      </w:sdtEndPr>
      <w:sdtContent>
        <w:p w14:paraId="319CE00F">
          <w:pPr>
            <w:pStyle w:val="261"/>
            <w:jc w:val="center"/>
            <w:rPr>
              <w:rFonts w:hint="eastAsia" w:ascii="仿宋" w:hAnsi="仿宋" w:eastAsia="仿宋"/>
              <w:b/>
              <w:bCs/>
              <w:color w:val="auto"/>
              <w:sz w:val="24"/>
              <w:szCs w:val="24"/>
            </w:rPr>
          </w:pPr>
          <w:r>
            <w:rPr>
              <w:rFonts w:ascii="仿宋" w:hAnsi="仿宋" w:eastAsia="仿宋"/>
              <w:b/>
              <w:bCs/>
              <w:color w:val="auto"/>
              <w:sz w:val="24"/>
              <w:szCs w:val="24"/>
              <w:lang w:val="zh-CN"/>
            </w:rPr>
            <w:t>目录</w:t>
          </w:r>
        </w:p>
        <w:p w14:paraId="5499C374">
          <w:pPr>
            <w:pStyle w:val="59"/>
            <w:tabs>
              <w:tab w:val="right" w:leader="dot" w:pos="8296"/>
            </w:tabs>
            <w:rPr>
              <w:rFonts w:hint="eastAsia" w:ascii="仿宋" w:hAnsi="仿宋" w:eastAsia="仿宋"/>
              <w:sz w:val="24"/>
            </w:rPr>
          </w:pPr>
          <w:r>
            <w:rPr>
              <w:rFonts w:ascii="仿宋" w:hAnsi="仿宋" w:eastAsia="仿宋"/>
              <w:sz w:val="24"/>
            </w:rPr>
            <w:fldChar w:fldCharType="begin"/>
          </w:r>
          <w:r>
            <w:rPr>
              <w:rFonts w:ascii="仿宋" w:hAnsi="仿宋" w:eastAsia="仿宋"/>
              <w:sz w:val="24"/>
            </w:rPr>
            <w:instrText xml:space="preserve"> TOC \o "1-3" \h \z \u </w:instrText>
          </w:r>
          <w:r>
            <w:rPr>
              <w:rFonts w:ascii="仿宋" w:hAnsi="仿宋" w:eastAsia="仿宋"/>
              <w:sz w:val="24"/>
            </w:rPr>
            <w:fldChar w:fldCharType="separate"/>
          </w:r>
          <w:r>
            <w:fldChar w:fldCharType="begin"/>
          </w:r>
          <w:r>
            <w:instrText xml:space="preserve"> HYPERLINK \l "_Toc182865195" </w:instrText>
          </w:r>
          <w:r>
            <w:fldChar w:fldCharType="separate"/>
          </w:r>
          <w:r>
            <w:rPr>
              <w:rStyle w:val="242"/>
              <w:rFonts w:hint="eastAsia" w:ascii="仿宋" w:hAnsi="仿宋" w:eastAsia="仿宋"/>
              <w:sz w:val="24"/>
            </w:rPr>
            <w:t>一、项目概况</w:t>
          </w:r>
          <w:r>
            <w:rPr>
              <w:rFonts w:hint="eastAsia" w:ascii="仿宋" w:hAnsi="仿宋" w:eastAsia="仿宋"/>
              <w:sz w:val="24"/>
            </w:rPr>
            <w:tab/>
          </w:r>
          <w:r>
            <w:rPr>
              <w:rFonts w:hint="eastAsia" w:ascii="仿宋" w:hAnsi="仿宋" w:eastAsia="仿宋"/>
              <w:sz w:val="24"/>
            </w:rPr>
            <w:fldChar w:fldCharType="begin"/>
          </w:r>
          <w:r>
            <w:rPr>
              <w:rFonts w:hint="eastAsia" w:ascii="仿宋" w:hAnsi="仿宋" w:eastAsia="仿宋"/>
              <w:sz w:val="24"/>
            </w:rPr>
            <w:instrText xml:space="preserve"> </w:instrText>
          </w:r>
          <w:r>
            <w:rPr>
              <w:rFonts w:ascii="仿宋" w:hAnsi="仿宋" w:eastAsia="仿宋"/>
              <w:sz w:val="24"/>
            </w:rPr>
            <w:instrText xml:space="preserve">PAGEREF _Toc182865195 \h</w:instrText>
          </w:r>
          <w:r>
            <w:rPr>
              <w:rFonts w:hint="eastAsia" w:ascii="仿宋" w:hAnsi="仿宋" w:eastAsia="仿宋"/>
              <w:sz w:val="24"/>
            </w:rPr>
            <w:instrText xml:space="preserve"> </w:instrText>
          </w:r>
          <w:r>
            <w:rPr>
              <w:rFonts w:hint="eastAsia" w:ascii="仿宋" w:hAnsi="仿宋" w:eastAsia="仿宋"/>
              <w:sz w:val="24"/>
            </w:rPr>
            <w:fldChar w:fldCharType="separate"/>
          </w:r>
          <w:r>
            <w:rPr>
              <w:rFonts w:hint="eastAsia" w:ascii="仿宋" w:hAnsi="仿宋" w:eastAsia="仿宋"/>
              <w:sz w:val="24"/>
            </w:rPr>
            <w:t>1</w:t>
          </w:r>
          <w:r>
            <w:rPr>
              <w:rFonts w:hint="eastAsia" w:ascii="仿宋" w:hAnsi="仿宋" w:eastAsia="仿宋"/>
              <w:sz w:val="24"/>
            </w:rPr>
            <w:fldChar w:fldCharType="end"/>
          </w:r>
          <w:r>
            <w:rPr>
              <w:rFonts w:hint="eastAsia" w:ascii="仿宋" w:hAnsi="仿宋" w:eastAsia="仿宋"/>
              <w:sz w:val="24"/>
            </w:rPr>
            <w:fldChar w:fldCharType="end"/>
          </w:r>
        </w:p>
        <w:p w14:paraId="29EC08DE">
          <w:pPr>
            <w:pStyle w:val="74"/>
            <w:tabs>
              <w:tab w:val="right" w:leader="dot" w:pos="8296"/>
            </w:tabs>
            <w:ind w:left="440"/>
            <w:rPr>
              <w:rFonts w:hint="eastAsia" w:ascii="仿宋" w:hAnsi="仿宋" w:eastAsia="仿宋"/>
              <w:sz w:val="24"/>
            </w:rPr>
          </w:pPr>
          <w:r>
            <w:fldChar w:fldCharType="begin"/>
          </w:r>
          <w:r>
            <w:instrText xml:space="preserve"> HYPERLINK \l "_Toc182865196" </w:instrText>
          </w:r>
          <w:r>
            <w:fldChar w:fldCharType="separate"/>
          </w:r>
          <w:r>
            <w:rPr>
              <w:rStyle w:val="242"/>
              <w:rFonts w:hint="eastAsia" w:ascii="仿宋" w:hAnsi="仿宋" w:eastAsia="仿宋"/>
              <w:sz w:val="24"/>
            </w:rPr>
            <w:t>（一）项目背景</w:t>
          </w:r>
          <w:r>
            <w:rPr>
              <w:rFonts w:hint="eastAsia" w:ascii="仿宋" w:hAnsi="仿宋" w:eastAsia="仿宋"/>
              <w:sz w:val="24"/>
            </w:rPr>
            <w:tab/>
          </w:r>
          <w:r>
            <w:rPr>
              <w:rFonts w:hint="eastAsia" w:ascii="仿宋" w:hAnsi="仿宋" w:eastAsia="仿宋"/>
              <w:sz w:val="24"/>
            </w:rPr>
            <w:fldChar w:fldCharType="begin"/>
          </w:r>
          <w:r>
            <w:rPr>
              <w:rFonts w:hint="eastAsia" w:ascii="仿宋" w:hAnsi="仿宋" w:eastAsia="仿宋"/>
              <w:sz w:val="24"/>
            </w:rPr>
            <w:instrText xml:space="preserve"> </w:instrText>
          </w:r>
          <w:r>
            <w:rPr>
              <w:rFonts w:ascii="仿宋" w:hAnsi="仿宋" w:eastAsia="仿宋"/>
              <w:sz w:val="24"/>
            </w:rPr>
            <w:instrText xml:space="preserve">PAGEREF _Toc182865196 \h</w:instrText>
          </w:r>
          <w:r>
            <w:rPr>
              <w:rFonts w:hint="eastAsia" w:ascii="仿宋" w:hAnsi="仿宋" w:eastAsia="仿宋"/>
              <w:sz w:val="24"/>
            </w:rPr>
            <w:instrText xml:space="preserve"> </w:instrText>
          </w:r>
          <w:r>
            <w:rPr>
              <w:rFonts w:hint="eastAsia" w:ascii="仿宋" w:hAnsi="仿宋" w:eastAsia="仿宋"/>
              <w:sz w:val="24"/>
            </w:rPr>
            <w:fldChar w:fldCharType="separate"/>
          </w:r>
          <w:r>
            <w:rPr>
              <w:rFonts w:hint="eastAsia" w:ascii="仿宋" w:hAnsi="仿宋" w:eastAsia="仿宋"/>
              <w:sz w:val="24"/>
            </w:rPr>
            <w:t>1</w:t>
          </w:r>
          <w:r>
            <w:rPr>
              <w:rFonts w:hint="eastAsia" w:ascii="仿宋" w:hAnsi="仿宋" w:eastAsia="仿宋"/>
              <w:sz w:val="24"/>
            </w:rPr>
            <w:fldChar w:fldCharType="end"/>
          </w:r>
          <w:r>
            <w:rPr>
              <w:rFonts w:hint="eastAsia" w:ascii="仿宋" w:hAnsi="仿宋" w:eastAsia="仿宋"/>
              <w:sz w:val="24"/>
            </w:rPr>
            <w:fldChar w:fldCharType="end"/>
          </w:r>
        </w:p>
        <w:p w14:paraId="5F1CEA50">
          <w:pPr>
            <w:pStyle w:val="74"/>
            <w:tabs>
              <w:tab w:val="right" w:leader="dot" w:pos="8296"/>
            </w:tabs>
            <w:ind w:left="440"/>
            <w:rPr>
              <w:rFonts w:hint="eastAsia" w:ascii="仿宋" w:hAnsi="仿宋" w:eastAsia="仿宋"/>
              <w:sz w:val="24"/>
            </w:rPr>
          </w:pPr>
          <w:r>
            <w:fldChar w:fldCharType="begin"/>
          </w:r>
          <w:r>
            <w:instrText xml:space="preserve"> HYPERLINK \l "_Toc182865197" </w:instrText>
          </w:r>
          <w:r>
            <w:fldChar w:fldCharType="separate"/>
          </w:r>
          <w:r>
            <w:rPr>
              <w:rStyle w:val="242"/>
              <w:rFonts w:hint="eastAsia" w:ascii="仿宋" w:hAnsi="仿宋" w:eastAsia="仿宋"/>
              <w:sz w:val="24"/>
            </w:rPr>
            <w:t>（二）作用和意义</w:t>
          </w:r>
          <w:r>
            <w:rPr>
              <w:rFonts w:hint="eastAsia" w:ascii="仿宋" w:hAnsi="仿宋" w:eastAsia="仿宋"/>
              <w:sz w:val="24"/>
            </w:rPr>
            <w:tab/>
          </w:r>
          <w:r>
            <w:rPr>
              <w:rFonts w:hint="eastAsia" w:ascii="仿宋" w:hAnsi="仿宋" w:eastAsia="仿宋"/>
              <w:sz w:val="24"/>
            </w:rPr>
            <w:fldChar w:fldCharType="begin"/>
          </w:r>
          <w:r>
            <w:rPr>
              <w:rFonts w:hint="eastAsia" w:ascii="仿宋" w:hAnsi="仿宋" w:eastAsia="仿宋"/>
              <w:sz w:val="24"/>
            </w:rPr>
            <w:instrText xml:space="preserve"> </w:instrText>
          </w:r>
          <w:r>
            <w:rPr>
              <w:rFonts w:ascii="仿宋" w:hAnsi="仿宋" w:eastAsia="仿宋"/>
              <w:sz w:val="24"/>
            </w:rPr>
            <w:instrText xml:space="preserve">PAGEREF _Toc182865197 \h</w:instrText>
          </w:r>
          <w:r>
            <w:rPr>
              <w:rFonts w:hint="eastAsia" w:ascii="仿宋" w:hAnsi="仿宋" w:eastAsia="仿宋"/>
              <w:sz w:val="24"/>
            </w:rPr>
            <w:instrText xml:space="preserve"> </w:instrText>
          </w:r>
          <w:r>
            <w:rPr>
              <w:rFonts w:hint="eastAsia" w:ascii="仿宋" w:hAnsi="仿宋" w:eastAsia="仿宋"/>
              <w:sz w:val="24"/>
            </w:rPr>
            <w:fldChar w:fldCharType="separate"/>
          </w:r>
          <w:r>
            <w:rPr>
              <w:rFonts w:hint="eastAsia" w:ascii="仿宋" w:hAnsi="仿宋" w:eastAsia="仿宋"/>
              <w:sz w:val="24"/>
            </w:rPr>
            <w:t>1</w:t>
          </w:r>
          <w:r>
            <w:rPr>
              <w:rFonts w:hint="eastAsia" w:ascii="仿宋" w:hAnsi="仿宋" w:eastAsia="仿宋"/>
              <w:sz w:val="24"/>
            </w:rPr>
            <w:fldChar w:fldCharType="end"/>
          </w:r>
          <w:r>
            <w:rPr>
              <w:rFonts w:hint="eastAsia" w:ascii="仿宋" w:hAnsi="仿宋" w:eastAsia="仿宋"/>
              <w:sz w:val="24"/>
            </w:rPr>
            <w:fldChar w:fldCharType="end"/>
          </w:r>
        </w:p>
        <w:p w14:paraId="7355EBB5">
          <w:pPr>
            <w:pStyle w:val="74"/>
            <w:tabs>
              <w:tab w:val="right" w:leader="dot" w:pos="8296"/>
            </w:tabs>
            <w:ind w:left="440"/>
            <w:rPr>
              <w:rFonts w:hint="eastAsia" w:ascii="仿宋" w:hAnsi="仿宋" w:eastAsia="仿宋"/>
              <w:sz w:val="24"/>
            </w:rPr>
          </w:pPr>
          <w:r>
            <w:fldChar w:fldCharType="begin"/>
          </w:r>
          <w:r>
            <w:instrText xml:space="preserve"> HYPERLINK \l "_Toc182865198" </w:instrText>
          </w:r>
          <w:r>
            <w:fldChar w:fldCharType="separate"/>
          </w:r>
          <w:r>
            <w:rPr>
              <w:rStyle w:val="242"/>
              <w:rFonts w:hint="eastAsia" w:ascii="仿宋" w:hAnsi="仿宋" w:eastAsia="仿宋"/>
              <w:sz w:val="24"/>
            </w:rPr>
            <w:t>（三）项目的内容</w:t>
          </w:r>
          <w:r>
            <w:rPr>
              <w:rFonts w:hint="eastAsia" w:ascii="仿宋" w:hAnsi="仿宋" w:eastAsia="仿宋"/>
              <w:sz w:val="24"/>
            </w:rPr>
            <w:tab/>
          </w:r>
          <w:r>
            <w:rPr>
              <w:rFonts w:hint="eastAsia" w:ascii="仿宋" w:hAnsi="仿宋" w:eastAsia="仿宋"/>
              <w:sz w:val="24"/>
            </w:rPr>
            <w:fldChar w:fldCharType="begin"/>
          </w:r>
          <w:r>
            <w:rPr>
              <w:rFonts w:hint="eastAsia" w:ascii="仿宋" w:hAnsi="仿宋" w:eastAsia="仿宋"/>
              <w:sz w:val="24"/>
            </w:rPr>
            <w:instrText xml:space="preserve"> </w:instrText>
          </w:r>
          <w:r>
            <w:rPr>
              <w:rFonts w:ascii="仿宋" w:hAnsi="仿宋" w:eastAsia="仿宋"/>
              <w:sz w:val="24"/>
            </w:rPr>
            <w:instrText xml:space="preserve">PAGEREF _Toc182865198 \h</w:instrText>
          </w:r>
          <w:r>
            <w:rPr>
              <w:rFonts w:hint="eastAsia" w:ascii="仿宋" w:hAnsi="仿宋" w:eastAsia="仿宋"/>
              <w:sz w:val="24"/>
            </w:rPr>
            <w:instrText xml:space="preserve"> </w:instrText>
          </w:r>
          <w:r>
            <w:rPr>
              <w:rFonts w:hint="eastAsia" w:ascii="仿宋" w:hAnsi="仿宋" w:eastAsia="仿宋"/>
              <w:sz w:val="24"/>
            </w:rPr>
            <w:fldChar w:fldCharType="separate"/>
          </w:r>
          <w:r>
            <w:rPr>
              <w:rFonts w:hint="eastAsia" w:ascii="仿宋" w:hAnsi="仿宋" w:eastAsia="仿宋"/>
              <w:sz w:val="24"/>
            </w:rPr>
            <w:t>2</w:t>
          </w:r>
          <w:r>
            <w:rPr>
              <w:rFonts w:hint="eastAsia" w:ascii="仿宋" w:hAnsi="仿宋" w:eastAsia="仿宋"/>
              <w:sz w:val="24"/>
            </w:rPr>
            <w:fldChar w:fldCharType="end"/>
          </w:r>
          <w:r>
            <w:rPr>
              <w:rFonts w:hint="eastAsia" w:ascii="仿宋" w:hAnsi="仿宋" w:eastAsia="仿宋"/>
              <w:sz w:val="24"/>
            </w:rPr>
            <w:fldChar w:fldCharType="end"/>
          </w:r>
        </w:p>
        <w:p w14:paraId="42406721">
          <w:pPr>
            <w:pStyle w:val="44"/>
            <w:tabs>
              <w:tab w:val="right" w:leader="dot" w:pos="8296"/>
            </w:tabs>
            <w:ind w:left="880"/>
            <w:rPr>
              <w:rFonts w:hint="eastAsia" w:ascii="仿宋" w:hAnsi="仿宋" w:eastAsia="仿宋"/>
              <w:sz w:val="24"/>
            </w:rPr>
          </w:pPr>
          <w:r>
            <w:fldChar w:fldCharType="begin"/>
          </w:r>
          <w:r>
            <w:instrText xml:space="preserve"> HYPERLINK \l "_Toc182865199" </w:instrText>
          </w:r>
          <w:r>
            <w:fldChar w:fldCharType="separate"/>
          </w:r>
          <w:r>
            <w:rPr>
              <w:rStyle w:val="242"/>
              <w:rFonts w:hint="eastAsia" w:ascii="仿宋" w:hAnsi="仿宋" w:eastAsia="仿宋"/>
              <w:sz w:val="24"/>
            </w:rPr>
            <w:t>1.洛江区道路交通安全专项资金的用途</w:t>
          </w:r>
          <w:r>
            <w:rPr>
              <w:rFonts w:hint="eastAsia" w:ascii="仿宋" w:hAnsi="仿宋" w:eastAsia="仿宋"/>
              <w:sz w:val="24"/>
            </w:rPr>
            <w:tab/>
          </w:r>
          <w:r>
            <w:rPr>
              <w:rFonts w:hint="eastAsia" w:ascii="仿宋" w:hAnsi="仿宋" w:eastAsia="仿宋"/>
              <w:sz w:val="24"/>
            </w:rPr>
            <w:fldChar w:fldCharType="begin"/>
          </w:r>
          <w:r>
            <w:rPr>
              <w:rFonts w:hint="eastAsia" w:ascii="仿宋" w:hAnsi="仿宋" w:eastAsia="仿宋"/>
              <w:sz w:val="24"/>
            </w:rPr>
            <w:instrText xml:space="preserve"> </w:instrText>
          </w:r>
          <w:r>
            <w:rPr>
              <w:rFonts w:ascii="仿宋" w:hAnsi="仿宋" w:eastAsia="仿宋"/>
              <w:sz w:val="24"/>
            </w:rPr>
            <w:instrText xml:space="preserve">PAGEREF _Toc182865199 \h</w:instrText>
          </w:r>
          <w:r>
            <w:rPr>
              <w:rFonts w:hint="eastAsia" w:ascii="仿宋" w:hAnsi="仿宋" w:eastAsia="仿宋"/>
              <w:sz w:val="24"/>
            </w:rPr>
            <w:instrText xml:space="preserve"> </w:instrText>
          </w:r>
          <w:r>
            <w:rPr>
              <w:rFonts w:hint="eastAsia" w:ascii="仿宋" w:hAnsi="仿宋" w:eastAsia="仿宋"/>
              <w:sz w:val="24"/>
            </w:rPr>
            <w:fldChar w:fldCharType="separate"/>
          </w:r>
          <w:r>
            <w:rPr>
              <w:rFonts w:hint="eastAsia" w:ascii="仿宋" w:hAnsi="仿宋" w:eastAsia="仿宋"/>
              <w:sz w:val="24"/>
            </w:rPr>
            <w:t>2</w:t>
          </w:r>
          <w:r>
            <w:rPr>
              <w:rFonts w:hint="eastAsia" w:ascii="仿宋" w:hAnsi="仿宋" w:eastAsia="仿宋"/>
              <w:sz w:val="24"/>
            </w:rPr>
            <w:fldChar w:fldCharType="end"/>
          </w:r>
          <w:r>
            <w:rPr>
              <w:rFonts w:hint="eastAsia" w:ascii="仿宋" w:hAnsi="仿宋" w:eastAsia="仿宋"/>
              <w:sz w:val="24"/>
            </w:rPr>
            <w:fldChar w:fldCharType="end"/>
          </w:r>
        </w:p>
        <w:p w14:paraId="3BC137E0">
          <w:pPr>
            <w:pStyle w:val="44"/>
            <w:tabs>
              <w:tab w:val="right" w:leader="dot" w:pos="8296"/>
            </w:tabs>
            <w:ind w:left="880"/>
            <w:rPr>
              <w:rFonts w:hint="eastAsia" w:ascii="仿宋" w:hAnsi="仿宋" w:eastAsia="仿宋"/>
              <w:sz w:val="24"/>
            </w:rPr>
          </w:pPr>
          <w:r>
            <w:fldChar w:fldCharType="begin"/>
          </w:r>
          <w:r>
            <w:instrText xml:space="preserve"> HYPERLINK \l "_Toc182865200" </w:instrText>
          </w:r>
          <w:r>
            <w:fldChar w:fldCharType="separate"/>
          </w:r>
          <w:r>
            <w:rPr>
              <w:rStyle w:val="242"/>
              <w:rFonts w:hint="eastAsia" w:ascii="仿宋" w:hAnsi="仿宋" w:eastAsia="仿宋"/>
              <w:sz w:val="24"/>
            </w:rPr>
            <w:t>2.预算编制、批复和执行</w:t>
          </w:r>
          <w:r>
            <w:rPr>
              <w:rFonts w:hint="eastAsia" w:ascii="仿宋" w:hAnsi="仿宋" w:eastAsia="仿宋"/>
              <w:sz w:val="24"/>
            </w:rPr>
            <w:tab/>
          </w:r>
          <w:r>
            <w:rPr>
              <w:rFonts w:hint="eastAsia" w:ascii="仿宋" w:hAnsi="仿宋" w:eastAsia="仿宋"/>
              <w:sz w:val="24"/>
            </w:rPr>
            <w:fldChar w:fldCharType="begin"/>
          </w:r>
          <w:r>
            <w:rPr>
              <w:rFonts w:hint="eastAsia" w:ascii="仿宋" w:hAnsi="仿宋" w:eastAsia="仿宋"/>
              <w:sz w:val="24"/>
            </w:rPr>
            <w:instrText xml:space="preserve"> </w:instrText>
          </w:r>
          <w:r>
            <w:rPr>
              <w:rFonts w:ascii="仿宋" w:hAnsi="仿宋" w:eastAsia="仿宋"/>
              <w:sz w:val="24"/>
            </w:rPr>
            <w:instrText xml:space="preserve">PAGEREF _Toc182865200 \h</w:instrText>
          </w:r>
          <w:r>
            <w:rPr>
              <w:rFonts w:hint="eastAsia" w:ascii="仿宋" w:hAnsi="仿宋" w:eastAsia="仿宋"/>
              <w:sz w:val="24"/>
            </w:rPr>
            <w:instrText xml:space="preserve"> </w:instrText>
          </w:r>
          <w:r>
            <w:rPr>
              <w:rFonts w:hint="eastAsia" w:ascii="仿宋" w:hAnsi="仿宋" w:eastAsia="仿宋"/>
              <w:sz w:val="24"/>
            </w:rPr>
            <w:fldChar w:fldCharType="separate"/>
          </w:r>
          <w:r>
            <w:rPr>
              <w:rFonts w:hint="eastAsia" w:ascii="仿宋" w:hAnsi="仿宋" w:eastAsia="仿宋"/>
              <w:sz w:val="24"/>
            </w:rPr>
            <w:t>3</w:t>
          </w:r>
          <w:r>
            <w:rPr>
              <w:rFonts w:hint="eastAsia" w:ascii="仿宋" w:hAnsi="仿宋" w:eastAsia="仿宋"/>
              <w:sz w:val="24"/>
            </w:rPr>
            <w:fldChar w:fldCharType="end"/>
          </w:r>
          <w:r>
            <w:rPr>
              <w:rFonts w:hint="eastAsia" w:ascii="仿宋" w:hAnsi="仿宋" w:eastAsia="仿宋"/>
              <w:sz w:val="24"/>
            </w:rPr>
            <w:fldChar w:fldCharType="end"/>
          </w:r>
        </w:p>
        <w:p w14:paraId="7E8972E0">
          <w:pPr>
            <w:pStyle w:val="59"/>
            <w:tabs>
              <w:tab w:val="right" w:leader="dot" w:pos="8296"/>
            </w:tabs>
            <w:rPr>
              <w:rFonts w:hint="eastAsia" w:ascii="仿宋" w:hAnsi="仿宋" w:eastAsia="仿宋"/>
              <w:sz w:val="24"/>
            </w:rPr>
          </w:pPr>
          <w:r>
            <w:fldChar w:fldCharType="begin"/>
          </w:r>
          <w:r>
            <w:instrText xml:space="preserve"> HYPERLINK \l "_Toc182865201" </w:instrText>
          </w:r>
          <w:r>
            <w:fldChar w:fldCharType="separate"/>
          </w:r>
          <w:r>
            <w:rPr>
              <w:rStyle w:val="242"/>
              <w:rFonts w:hint="eastAsia" w:ascii="仿宋" w:hAnsi="仿宋" w:eastAsia="仿宋"/>
              <w:sz w:val="24"/>
            </w:rPr>
            <w:t>二、项目实施情况</w:t>
          </w:r>
          <w:r>
            <w:rPr>
              <w:rFonts w:hint="eastAsia" w:ascii="仿宋" w:hAnsi="仿宋" w:eastAsia="仿宋"/>
              <w:sz w:val="24"/>
            </w:rPr>
            <w:tab/>
          </w:r>
          <w:r>
            <w:rPr>
              <w:rFonts w:hint="eastAsia" w:ascii="仿宋" w:hAnsi="仿宋" w:eastAsia="仿宋"/>
              <w:sz w:val="24"/>
            </w:rPr>
            <w:fldChar w:fldCharType="begin"/>
          </w:r>
          <w:r>
            <w:rPr>
              <w:rFonts w:hint="eastAsia" w:ascii="仿宋" w:hAnsi="仿宋" w:eastAsia="仿宋"/>
              <w:sz w:val="24"/>
            </w:rPr>
            <w:instrText xml:space="preserve"> </w:instrText>
          </w:r>
          <w:r>
            <w:rPr>
              <w:rFonts w:ascii="仿宋" w:hAnsi="仿宋" w:eastAsia="仿宋"/>
              <w:sz w:val="24"/>
            </w:rPr>
            <w:instrText xml:space="preserve">PAGEREF _Toc182865201 \h</w:instrText>
          </w:r>
          <w:r>
            <w:rPr>
              <w:rFonts w:hint="eastAsia" w:ascii="仿宋" w:hAnsi="仿宋" w:eastAsia="仿宋"/>
              <w:sz w:val="24"/>
            </w:rPr>
            <w:instrText xml:space="preserve"> </w:instrText>
          </w:r>
          <w:r>
            <w:rPr>
              <w:rFonts w:hint="eastAsia" w:ascii="仿宋" w:hAnsi="仿宋" w:eastAsia="仿宋"/>
              <w:sz w:val="24"/>
            </w:rPr>
            <w:fldChar w:fldCharType="separate"/>
          </w:r>
          <w:r>
            <w:rPr>
              <w:rFonts w:hint="eastAsia" w:ascii="仿宋" w:hAnsi="仿宋" w:eastAsia="仿宋"/>
              <w:sz w:val="24"/>
            </w:rPr>
            <w:t>3</w:t>
          </w:r>
          <w:r>
            <w:rPr>
              <w:rFonts w:hint="eastAsia" w:ascii="仿宋" w:hAnsi="仿宋" w:eastAsia="仿宋"/>
              <w:sz w:val="24"/>
            </w:rPr>
            <w:fldChar w:fldCharType="end"/>
          </w:r>
          <w:r>
            <w:rPr>
              <w:rFonts w:hint="eastAsia" w:ascii="仿宋" w:hAnsi="仿宋" w:eastAsia="仿宋"/>
              <w:sz w:val="24"/>
            </w:rPr>
            <w:fldChar w:fldCharType="end"/>
          </w:r>
        </w:p>
        <w:p w14:paraId="7A08E7CB">
          <w:pPr>
            <w:pStyle w:val="74"/>
            <w:tabs>
              <w:tab w:val="right" w:leader="dot" w:pos="8296"/>
            </w:tabs>
            <w:ind w:left="440"/>
            <w:rPr>
              <w:rFonts w:hint="eastAsia" w:ascii="仿宋" w:hAnsi="仿宋" w:eastAsia="仿宋"/>
              <w:sz w:val="24"/>
            </w:rPr>
          </w:pPr>
          <w:r>
            <w:fldChar w:fldCharType="begin"/>
          </w:r>
          <w:r>
            <w:instrText xml:space="preserve"> HYPERLINK \l "_Toc182865202" </w:instrText>
          </w:r>
          <w:r>
            <w:fldChar w:fldCharType="separate"/>
          </w:r>
          <w:r>
            <w:rPr>
              <w:rStyle w:val="242"/>
              <w:rFonts w:hint="eastAsia" w:ascii="仿宋" w:hAnsi="仿宋" w:eastAsia="仿宋"/>
              <w:sz w:val="24"/>
            </w:rPr>
            <w:t>（一）资金来源及使用情况</w:t>
          </w:r>
          <w:r>
            <w:rPr>
              <w:rFonts w:hint="eastAsia" w:ascii="仿宋" w:hAnsi="仿宋" w:eastAsia="仿宋"/>
              <w:sz w:val="24"/>
            </w:rPr>
            <w:tab/>
          </w:r>
          <w:r>
            <w:rPr>
              <w:rFonts w:hint="eastAsia" w:ascii="仿宋" w:hAnsi="仿宋" w:eastAsia="仿宋"/>
              <w:sz w:val="24"/>
            </w:rPr>
            <w:fldChar w:fldCharType="begin"/>
          </w:r>
          <w:r>
            <w:rPr>
              <w:rFonts w:hint="eastAsia" w:ascii="仿宋" w:hAnsi="仿宋" w:eastAsia="仿宋"/>
              <w:sz w:val="24"/>
            </w:rPr>
            <w:instrText xml:space="preserve"> </w:instrText>
          </w:r>
          <w:r>
            <w:rPr>
              <w:rFonts w:ascii="仿宋" w:hAnsi="仿宋" w:eastAsia="仿宋"/>
              <w:sz w:val="24"/>
            </w:rPr>
            <w:instrText xml:space="preserve">PAGEREF _Toc182865202 \h</w:instrText>
          </w:r>
          <w:r>
            <w:rPr>
              <w:rFonts w:hint="eastAsia" w:ascii="仿宋" w:hAnsi="仿宋" w:eastAsia="仿宋"/>
              <w:sz w:val="24"/>
            </w:rPr>
            <w:instrText xml:space="preserve"> </w:instrText>
          </w:r>
          <w:r>
            <w:rPr>
              <w:rFonts w:hint="eastAsia" w:ascii="仿宋" w:hAnsi="仿宋" w:eastAsia="仿宋"/>
              <w:sz w:val="24"/>
            </w:rPr>
            <w:fldChar w:fldCharType="separate"/>
          </w:r>
          <w:r>
            <w:rPr>
              <w:rFonts w:hint="eastAsia" w:ascii="仿宋" w:hAnsi="仿宋" w:eastAsia="仿宋"/>
              <w:sz w:val="24"/>
            </w:rPr>
            <w:t>3</w:t>
          </w:r>
          <w:r>
            <w:rPr>
              <w:rFonts w:hint="eastAsia" w:ascii="仿宋" w:hAnsi="仿宋" w:eastAsia="仿宋"/>
              <w:sz w:val="24"/>
            </w:rPr>
            <w:fldChar w:fldCharType="end"/>
          </w:r>
          <w:r>
            <w:rPr>
              <w:rFonts w:hint="eastAsia" w:ascii="仿宋" w:hAnsi="仿宋" w:eastAsia="仿宋"/>
              <w:sz w:val="24"/>
            </w:rPr>
            <w:fldChar w:fldCharType="end"/>
          </w:r>
        </w:p>
        <w:p w14:paraId="42B150A8">
          <w:pPr>
            <w:pStyle w:val="74"/>
            <w:tabs>
              <w:tab w:val="right" w:leader="dot" w:pos="8296"/>
            </w:tabs>
            <w:ind w:left="440"/>
            <w:rPr>
              <w:rFonts w:hint="eastAsia" w:ascii="仿宋" w:hAnsi="仿宋" w:eastAsia="仿宋"/>
              <w:sz w:val="24"/>
            </w:rPr>
          </w:pPr>
          <w:r>
            <w:fldChar w:fldCharType="begin"/>
          </w:r>
          <w:r>
            <w:instrText xml:space="preserve"> HYPERLINK \l "_Toc182865203" </w:instrText>
          </w:r>
          <w:r>
            <w:fldChar w:fldCharType="separate"/>
          </w:r>
          <w:r>
            <w:rPr>
              <w:rStyle w:val="242"/>
              <w:rFonts w:hint="eastAsia" w:ascii="仿宋" w:hAnsi="仿宋" w:eastAsia="仿宋"/>
              <w:sz w:val="24"/>
            </w:rPr>
            <w:t>（二）实施组织及管理情况</w:t>
          </w:r>
          <w:r>
            <w:rPr>
              <w:rFonts w:hint="eastAsia" w:ascii="仿宋" w:hAnsi="仿宋" w:eastAsia="仿宋"/>
              <w:sz w:val="24"/>
            </w:rPr>
            <w:tab/>
          </w:r>
          <w:r>
            <w:rPr>
              <w:rFonts w:hint="eastAsia" w:ascii="仿宋" w:hAnsi="仿宋" w:eastAsia="仿宋"/>
              <w:sz w:val="24"/>
            </w:rPr>
            <w:fldChar w:fldCharType="begin"/>
          </w:r>
          <w:r>
            <w:rPr>
              <w:rFonts w:hint="eastAsia" w:ascii="仿宋" w:hAnsi="仿宋" w:eastAsia="仿宋"/>
              <w:sz w:val="24"/>
            </w:rPr>
            <w:instrText xml:space="preserve"> </w:instrText>
          </w:r>
          <w:r>
            <w:rPr>
              <w:rFonts w:ascii="仿宋" w:hAnsi="仿宋" w:eastAsia="仿宋"/>
              <w:sz w:val="24"/>
            </w:rPr>
            <w:instrText xml:space="preserve">PAGEREF _Toc182865203 \h</w:instrText>
          </w:r>
          <w:r>
            <w:rPr>
              <w:rFonts w:hint="eastAsia" w:ascii="仿宋" w:hAnsi="仿宋" w:eastAsia="仿宋"/>
              <w:sz w:val="24"/>
            </w:rPr>
            <w:instrText xml:space="preserve"> </w:instrText>
          </w:r>
          <w:r>
            <w:rPr>
              <w:rFonts w:hint="eastAsia" w:ascii="仿宋" w:hAnsi="仿宋" w:eastAsia="仿宋"/>
              <w:sz w:val="24"/>
            </w:rPr>
            <w:fldChar w:fldCharType="separate"/>
          </w:r>
          <w:r>
            <w:rPr>
              <w:rFonts w:hint="eastAsia" w:ascii="仿宋" w:hAnsi="仿宋" w:eastAsia="仿宋"/>
              <w:sz w:val="24"/>
            </w:rPr>
            <w:t>4</w:t>
          </w:r>
          <w:r>
            <w:rPr>
              <w:rFonts w:hint="eastAsia" w:ascii="仿宋" w:hAnsi="仿宋" w:eastAsia="仿宋"/>
              <w:sz w:val="24"/>
            </w:rPr>
            <w:fldChar w:fldCharType="end"/>
          </w:r>
          <w:r>
            <w:rPr>
              <w:rFonts w:hint="eastAsia" w:ascii="仿宋" w:hAnsi="仿宋" w:eastAsia="仿宋"/>
              <w:sz w:val="24"/>
            </w:rPr>
            <w:fldChar w:fldCharType="end"/>
          </w:r>
        </w:p>
        <w:p w14:paraId="277004E4">
          <w:pPr>
            <w:pStyle w:val="74"/>
            <w:tabs>
              <w:tab w:val="right" w:leader="dot" w:pos="8296"/>
            </w:tabs>
            <w:ind w:left="440"/>
            <w:rPr>
              <w:rFonts w:hint="eastAsia" w:ascii="仿宋" w:hAnsi="仿宋" w:eastAsia="仿宋"/>
              <w:sz w:val="24"/>
            </w:rPr>
          </w:pPr>
          <w:r>
            <w:fldChar w:fldCharType="begin"/>
          </w:r>
          <w:r>
            <w:instrText xml:space="preserve"> HYPERLINK \l "_Toc182865204" </w:instrText>
          </w:r>
          <w:r>
            <w:fldChar w:fldCharType="separate"/>
          </w:r>
          <w:r>
            <w:rPr>
              <w:rStyle w:val="242"/>
              <w:rFonts w:hint="eastAsia" w:ascii="仿宋" w:hAnsi="仿宋" w:eastAsia="仿宋"/>
              <w:sz w:val="24"/>
            </w:rPr>
            <w:t>（三）总体目标</w:t>
          </w:r>
          <w:r>
            <w:rPr>
              <w:rFonts w:hint="eastAsia" w:ascii="仿宋" w:hAnsi="仿宋" w:eastAsia="仿宋"/>
              <w:sz w:val="24"/>
            </w:rPr>
            <w:tab/>
          </w:r>
          <w:r>
            <w:rPr>
              <w:rFonts w:hint="eastAsia" w:ascii="仿宋" w:hAnsi="仿宋" w:eastAsia="仿宋"/>
              <w:sz w:val="24"/>
            </w:rPr>
            <w:fldChar w:fldCharType="begin"/>
          </w:r>
          <w:r>
            <w:rPr>
              <w:rFonts w:hint="eastAsia" w:ascii="仿宋" w:hAnsi="仿宋" w:eastAsia="仿宋"/>
              <w:sz w:val="24"/>
            </w:rPr>
            <w:instrText xml:space="preserve"> </w:instrText>
          </w:r>
          <w:r>
            <w:rPr>
              <w:rFonts w:ascii="仿宋" w:hAnsi="仿宋" w:eastAsia="仿宋"/>
              <w:sz w:val="24"/>
            </w:rPr>
            <w:instrText xml:space="preserve">PAGEREF _Toc182865204 \h</w:instrText>
          </w:r>
          <w:r>
            <w:rPr>
              <w:rFonts w:hint="eastAsia" w:ascii="仿宋" w:hAnsi="仿宋" w:eastAsia="仿宋"/>
              <w:sz w:val="24"/>
            </w:rPr>
            <w:instrText xml:space="preserve"> </w:instrText>
          </w:r>
          <w:r>
            <w:rPr>
              <w:rFonts w:hint="eastAsia" w:ascii="仿宋" w:hAnsi="仿宋" w:eastAsia="仿宋"/>
              <w:sz w:val="24"/>
            </w:rPr>
            <w:fldChar w:fldCharType="separate"/>
          </w:r>
          <w:r>
            <w:rPr>
              <w:rFonts w:hint="eastAsia" w:ascii="仿宋" w:hAnsi="仿宋" w:eastAsia="仿宋"/>
              <w:sz w:val="24"/>
            </w:rPr>
            <w:t>4</w:t>
          </w:r>
          <w:r>
            <w:rPr>
              <w:rFonts w:hint="eastAsia" w:ascii="仿宋" w:hAnsi="仿宋" w:eastAsia="仿宋"/>
              <w:sz w:val="24"/>
            </w:rPr>
            <w:fldChar w:fldCharType="end"/>
          </w:r>
          <w:r>
            <w:rPr>
              <w:rFonts w:hint="eastAsia" w:ascii="仿宋" w:hAnsi="仿宋" w:eastAsia="仿宋"/>
              <w:sz w:val="24"/>
            </w:rPr>
            <w:fldChar w:fldCharType="end"/>
          </w:r>
        </w:p>
        <w:p w14:paraId="0F7859BA">
          <w:pPr>
            <w:pStyle w:val="59"/>
            <w:tabs>
              <w:tab w:val="right" w:leader="dot" w:pos="8296"/>
            </w:tabs>
            <w:rPr>
              <w:rFonts w:hint="eastAsia" w:ascii="仿宋" w:hAnsi="仿宋" w:eastAsia="仿宋"/>
              <w:sz w:val="24"/>
            </w:rPr>
          </w:pPr>
          <w:r>
            <w:fldChar w:fldCharType="begin"/>
          </w:r>
          <w:r>
            <w:instrText xml:space="preserve"> HYPERLINK \l "_Toc182865205" </w:instrText>
          </w:r>
          <w:r>
            <w:fldChar w:fldCharType="separate"/>
          </w:r>
          <w:r>
            <w:rPr>
              <w:rStyle w:val="242"/>
              <w:rFonts w:hint="eastAsia" w:ascii="仿宋" w:hAnsi="仿宋" w:eastAsia="仿宋"/>
              <w:sz w:val="24"/>
            </w:rPr>
            <w:t>三、绩效评价工作开展情况</w:t>
          </w:r>
          <w:r>
            <w:rPr>
              <w:rFonts w:hint="eastAsia" w:ascii="仿宋" w:hAnsi="仿宋" w:eastAsia="仿宋"/>
              <w:sz w:val="24"/>
            </w:rPr>
            <w:tab/>
          </w:r>
          <w:r>
            <w:rPr>
              <w:rFonts w:hint="eastAsia" w:ascii="仿宋" w:hAnsi="仿宋" w:eastAsia="仿宋"/>
              <w:sz w:val="24"/>
            </w:rPr>
            <w:fldChar w:fldCharType="begin"/>
          </w:r>
          <w:r>
            <w:rPr>
              <w:rFonts w:hint="eastAsia" w:ascii="仿宋" w:hAnsi="仿宋" w:eastAsia="仿宋"/>
              <w:sz w:val="24"/>
            </w:rPr>
            <w:instrText xml:space="preserve"> </w:instrText>
          </w:r>
          <w:r>
            <w:rPr>
              <w:rFonts w:ascii="仿宋" w:hAnsi="仿宋" w:eastAsia="仿宋"/>
              <w:sz w:val="24"/>
            </w:rPr>
            <w:instrText xml:space="preserve">PAGEREF _Toc182865205 \h</w:instrText>
          </w:r>
          <w:r>
            <w:rPr>
              <w:rFonts w:hint="eastAsia" w:ascii="仿宋" w:hAnsi="仿宋" w:eastAsia="仿宋"/>
              <w:sz w:val="24"/>
            </w:rPr>
            <w:instrText xml:space="preserve"> </w:instrText>
          </w:r>
          <w:r>
            <w:rPr>
              <w:rFonts w:hint="eastAsia" w:ascii="仿宋" w:hAnsi="仿宋" w:eastAsia="仿宋"/>
              <w:sz w:val="24"/>
            </w:rPr>
            <w:fldChar w:fldCharType="separate"/>
          </w:r>
          <w:r>
            <w:rPr>
              <w:rFonts w:hint="eastAsia" w:ascii="仿宋" w:hAnsi="仿宋" w:eastAsia="仿宋"/>
              <w:sz w:val="24"/>
            </w:rPr>
            <w:t>5</w:t>
          </w:r>
          <w:r>
            <w:rPr>
              <w:rFonts w:hint="eastAsia" w:ascii="仿宋" w:hAnsi="仿宋" w:eastAsia="仿宋"/>
              <w:sz w:val="24"/>
            </w:rPr>
            <w:fldChar w:fldCharType="end"/>
          </w:r>
          <w:r>
            <w:rPr>
              <w:rFonts w:hint="eastAsia" w:ascii="仿宋" w:hAnsi="仿宋" w:eastAsia="仿宋"/>
              <w:sz w:val="24"/>
            </w:rPr>
            <w:fldChar w:fldCharType="end"/>
          </w:r>
        </w:p>
        <w:p w14:paraId="1716DF35">
          <w:pPr>
            <w:pStyle w:val="74"/>
            <w:tabs>
              <w:tab w:val="right" w:leader="dot" w:pos="8296"/>
            </w:tabs>
            <w:ind w:left="440"/>
            <w:rPr>
              <w:rFonts w:hint="eastAsia" w:ascii="仿宋" w:hAnsi="仿宋" w:eastAsia="仿宋"/>
              <w:sz w:val="24"/>
            </w:rPr>
          </w:pPr>
          <w:r>
            <w:fldChar w:fldCharType="begin"/>
          </w:r>
          <w:r>
            <w:instrText xml:space="preserve"> HYPERLINK \l "_Toc182865206" </w:instrText>
          </w:r>
          <w:r>
            <w:fldChar w:fldCharType="separate"/>
          </w:r>
          <w:r>
            <w:rPr>
              <w:rStyle w:val="242"/>
              <w:rFonts w:hint="eastAsia" w:ascii="仿宋" w:hAnsi="仿宋" w:eastAsia="仿宋"/>
              <w:sz w:val="24"/>
            </w:rPr>
            <w:t>（一）绩效评价目的和作用</w:t>
          </w:r>
          <w:r>
            <w:rPr>
              <w:rFonts w:hint="eastAsia" w:ascii="仿宋" w:hAnsi="仿宋" w:eastAsia="仿宋"/>
              <w:sz w:val="24"/>
            </w:rPr>
            <w:tab/>
          </w:r>
          <w:r>
            <w:rPr>
              <w:rFonts w:hint="eastAsia" w:ascii="仿宋" w:hAnsi="仿宋" w:eastAsia="仿宋"/>
              <w:sz w:val="24"/>
            </w:rPr>
            <w:fldChar w:fldCharType="begin"/>
          </w:r>
          <w:r>
            <w:rPr>
              <w:rFonts w:hint="eastAsia" w:ascii="仿宋" w:hAnsi="仿宋" w:eastAsia="仿宋"/>
              <w:sz w:val="24"/>
            </w:rPr>
            <w:instrText xml:space="preserve"> </w:instrText>
          </w:r>
          <w:r>
            <w:rPr>
              <w:rFonts w:ascii="仿宋" w:hAnsi="仿宋" w:eastAsia="仿宋"/>
              <w:sz w:val="24"/>
            </w:rPr>
            <w:instrText xml:space="preserve">PAGEREF _Toc182865206 \h</w:instrText>
          </w:r>
          <w:r>
            <w:rPr>
              <w:rFonts w:hint="eastAsia" w:ascii="仿宋" w:hAnsi="仿宋" w:eastAsia="仿宋"/>
              <w:sz w:val="24"/>
            </w:rPr>
            <w:instrText xml:space="preserve"> </w:instrText>
          </w:r>
          <w:r>
            <w:rPr>
              <w:rFonts w:hint="eastAsia" w:ascii="仿宋" w:hAnsi="仿宋" w:eastAsia="仿宋"/>
              <w:sz w:val="24"/>
            </w:rPr>
            <w:fldChar w:fldCharType="separate"/>
          </w:r>
          <w:r>
            <w:rPr>
              <w:rFonts w:hint="eastAsia" w:ascii="仿宋" w:hAnsi="仿宋" w:eastAsia="仿宋"/>
              <w:sz w:val="24"/>
            </w:rPr>
            <w:t>5</w:t>
          </w:r>
          <w:r>
            <w:rPr>
              <w:rFonts w:hint="eastAsia" w:ascii="仿宋" w:hAnsi="仿宋" w:eastAsia="仿宋"/>
              <w:sz w:val="24"/>
            </w:rPr>
            <w:fldChar w:fldCharType="end"/>
          </w:r>
          <w:r>
            <w:rPr>
              <w:rFonts w:hint="eastAsia" w:ascii="仿宋" w:hAnsi="仿宋" w:eastAsia="仿宋"/>
              <w:sz w:val="24"/>
            </w:rPr>
            <w:fldChar w:fldCharType="end"/>
          </w:r>
        </w:p>
        <w:p w14:paraId="637DB54A">
          <w:pPr>
            <w:pStyle w:val="74"/>
            <w:tabs>
              <w:tab w:val="right" w:leader="dot" w:pos="8296"/>
            </w:tabs>
            <w:ind w:left="440"/>
            <w:rPr>
              <w:rFonts w:hint="eastAsia" w:ascii="仿宋" w:hAnsi="仿宋" w:eastAsia="仿宋"/>
              <w:sz w:val="24"/>
            </w:rPr>
          </w:pPr>
          <w:r>
            <w:fldChar w:fldCharType="begin"/>
          </w:r>
          <w:r>
            <w:instrText xml:space="preserve"> HYPERLINK \l "_Toc182865207" </w:instrText>
          </w:r>
          <w:r>
            <w:fldChar w:fldCharType="separate"/>
          </w:r>
          <w:r>
            <w:rPr>
              <w:rStyle w:val="242"/>
              <w:rFonts w:hint="eastAsia" w:ascii="仿宋" w:hAnsi="仿宋" w:eastAsia="仿宋"/>
              <w:sz w:val="24"/>
            </w:rPr>
            <w:t>（二）评价对象和范围</w:t>
          </w:r>
          <w:r>
            <w:rPr>
              <w:rFonts w:hint="eastAsia" w:ascii="仿宋" w:hAnsi="仿宋" w:eastAsia="仿宋"/>
              <w:sz w:val="24"/>
            </w:rPr>
            <w:tab/>
          </w:r>
          <w:r>
            <w:rPr>
              <w:rFonts w:hint="eastAsia" w:ascii="仿宋" w:hAnsi="仿宋" w:eastAsia="仿宋"/>
              <w:sz w:val="24"/>
            </w:rPr>
            <w:fldChar w:fldCharType="begin"/>
          </w:r>
          <w:r>
            <w:rPr>
              <w:rFonts w:hint="eastAsia" w:ascii="仿宋" w:hAnsi="仿宋" w:eastAsia="仿宋"/>
              <w:sz w:val="24"/>
            </w:rPr>
            <w:instrText xml:space="preserve"> </w:instrText>
          </w:r>
          <w:r>
            <w:rPr>
              <w:rFonts w:ascii="仿宋" w:hAnsi="仿宋" w:eastAsia="仿宋"/>
              <w:sz w:val="24"/>
            </w:rPr>
            <w:instrText xml:space="preserve">PAGEREF _Toc182865207 \h</w:instrText>
          </w:r>
          <w:r>
            <w:rPr>
              <w:rFonts w:hint="eastAsia" w:ascii="仿宋" w:hAnsi="仿宋" w:eastAsia="仿宋"/>
              <w:sz w:val="24"/>
            </w:rPr>
            <w:instrText xml:space="preserve"> </w:instrText>
          </w:r>
          <w:r>
            <w:rPr>
              <w:rFonts w:hint="eastAsia" w:ascii="仿宋" w:hAnsi="仿宋" w:eastAsia="仿宋"/>
              <w:sz w:val="24"/>
            </w:rPr>
            <w:fldChar w:fldCharType="separate"/>
          </w:r>
          <w:r>
            <w:rPr>
              <w:rFonts w:hint="eastAsia" w:ascii="仿宋" w:hAnsi="仿宋" w:eastAsia="仿宋"/>
              <w:sz w:val="24"/>
            </w:rPr>
            <w:t>6</w:t>
          </w:r>
          <w:r>
            <w:rPr>
              <w:rFonts w:hint="eastAsia" w:ascii="仿宋" w:hAnsi="仿宋" w:eastAsia="仿宋"/>
              <w:sz w:val="24"/>
            </w:rPr>
            <w:fldChar w:fldCharType="end"/>
          </w:r>
          <w:r>
            <w:rPr>
              <w:rFonts w:hint="eastAsia" w:ascii="仿宋" w:hAnsi="仿宋" w:eastAsia="仿宋"/>
              <w:sz w:val="24"/>
            </w:rPr>
            <w:fldChar w:fldCharType="end"/>
          </w:r>
        </w:p>
        <w:p w14:paraId="68A0CB32">
          <w:pPr>
            <w:pStyle w:val="74"/>
            <w:tabs>
              <w:tab w:val="right" w:leader="dot" w:pos="8296"/>
            </w:tabs>
            <w:ind w:left="440"/>
            <w:rPr>
              <w:rFonts w:hint="eastAsia" w:ascii="仿宋" w:hAnsi="仿宋" w:eastAsia="仿宋"/>
              <w:sz w:val="24"/>
            </w:rPr>
          </w:pPr>
          <w:r>
            <w:fldChar w:fldCharType="begin"/>
          </w:r>
          <w:r>
            <w:instrText xml:space="preserve"> HYPERLINK \l "_Toc182865208" </w:instrText>
          </w:r>
          <w:r>
            <w:fldChar w:fldCharType="separate"/>
          </w:r>
          <w:r>
            <w:rPr>
              <w:rStyle w:val="242"/>
              <w:rFonts w:hint="eastAsia" w:ascii="仿宋" w:hAnsi="仿宋" w:eastAsia="仿宋"/>
              <w:sz w:val="24"/>
            </w:rPr>
            <w:t>（三）绩效评价依据</w:t>
          </w:r>
          <w:r>
            <w:rPr>
              <w:rFonts w:hint="eastAsia" w:ascii="仿宋" w:hAnsi="仿宋" w:eastAsia="仿宋"/>
              <w:sz w:val="24"/>
            </w:rPr>
            <w:tab/>
          </w:r>
          <w:r>
            <w:rPr>
              <w:rFonts w:hint="eastAsia" w:ascii="仿宋" w:hAnsi="仿宋" w:eastAsia="仿宋"/>
              <w:sz w:val="24"/>
            </w:rPr>
            <w:fldChar w:fldCharType="begin"/>
          </w:r>
          <w:r>
            <w:rPr>
              <w:rFonts w:hint="eastAsia" w:ascii="仿宋" w:hAnsi="仿宋" w:eastAsia="仿宋"/>
              <w:sz w:val="24"/>
            </w:rPr>
            <w:instrText xml:space="preserve"> </w:instrText>
          </w:r>
          <w:r>
            <w:rPr>
              <w:rFonts w:ascii="仿宋" w:hAnsi="仿宋" w:eastAsia="仿宋"/>
              <w:sz w:val="24"/>
            </w:rPr>
            <w:instrText xml:space="preserve">PAGEREF _Toc182865208 \h</w:instrText>
          </w:r>
          <w:r>
            <w:rPr>
              <w:rFonts w:hint="eastAsia" w:ascii="仿宋" w:hAnsi="仿宋" w:eastAsia="仿宋"/>
              <w:sz w:val="24"/>
            </w:rPr>
            <w:instrText xml:space="preserve"> </w:instrText>
          </w:r>
          <w:r>
            <w:rPr>
              <w:rFonts w:hint="eastAsia" w:ascii="仿宋" w:hAnsi="仿宋" w:eastAsia="仿宋"/>
              <w:sz w:val="24"/>
            </w:rPr>
            <w:fldChar w:fldCharType="separate"/>
          </w:r>
          <w:r>
            <w:rPr>
              <w:rFonts w:hint="eastAsia" w:ascii="仿宋" w:hAnsi="仿宋" w:eastAsia="仿宋"/>
              <w:sz w:val="24"/>
            </w:rPr>
            <w:t>6</w:t>
          </w:r>
          <w:r>
            <w:rPr>
              <w:rFonts w:hint="eastAsia" w:ascii="仿宋" w:hAnsi="仿宋" w:eastAsia="仿宋"/>
              <w:sz w:val="24"/>
            </w:rPr>
            <w:fldChar w:fldCharType="end"/>
          </w:r>
          <w:r>
            <w:rPr>
              <w:rFonts w:hint="eastAsia" w:ascii="仿宋" w:hAnsi="仿宋" w:eastAsia="仿宋"/>
              <w:sz w:val="24"/>
            </w:rPr>
            <w:fldChar w:fldCharType="end"/>
          </w:r>
        </w:p>
        <w:p w14:paraId="7BA02BE8">
          <w:pPr>
            <w:pStyle w:val="74"/>
            <w:tabs>
              <w:tab w:val="right" w:leader="dot" w:pos="8296"/>
            </w:tabs>
            <w:ind w:left="440"/>
            <w:rPr>
              <w:rFonts w:hint="eastAsia" w:ascii="仿宋" w:hAnsi="仿宋" w:eastAsia="仿宋"/>
              <w:sz w:val="24"/>
            </w:rPr>
          </w:pPr>
          <w:r>
            <w:fldChar w:fldCharType="begin"/>
          </w:r>
          <w:r>
            <w:instrText xml:space="preserve"> HYPERLINK \l "_Toc182865209" </w:instrText>
          </w:r>
          <w:r>
            <w:fldChar w:fldCharType="separate"/>
          </w:r>
          <w:r>
            <w:rPr>
              <w:rStyle w:val="242"/>
              <w:rFonts w:hint="eastAsia" w:ascii="仿宋" w:hAnsi="仿宋" w:eastAsia="仿宋"/>
              <w:sz w:val="24"/>
            </w:rPr>
            <w:t>（四）绩效评价原则</w:t>
          </w:r>
          <w:r>
            <w:rPr>
              <w:rFonts w:hint="eastAsia" w:ascii="仿宋" w:hAnsi="仿宋" w:eastAsia="仿宋"/>
              <w:sz w:val="24"/>
            </w:rPr>
            <w:tab/>
          </w:r>
          <w:r>
            <w:rPr>
              <w:rFonts w:hint="eastAsia" w:ascii="仿宋" w:hAnsi="仿宋" w:eastAsia="仿宋"/>
              <w:sz w:val="24"/>
            </w:rPr>
            <w:fldChar w:fldCharType="begin"/>
          </w:r>
          <w:r>
            <w:rPr>
              <w:rFonts w:hint="eastAsia" w:ascii="仿宋" w:hAnsi="仿宋" w:eastAsia="仿宋"/>
              <w:sz w:val="24"/>
            </w:rPr>
            <w:instrText xml:space="preserve"> </w:instrText>
          </w:r>
          <w:r>
            <w:rPr>
              <w:rFonts w:ascii="仿宋" w:hAnsi="仿宋" w:eastAsia="仿宋"/>
              <w:sz w:val="24"/>
            </w:rPr>
            <w:instrText xml:space="preserve">PAGEREF _Toc182865209 \h</w:instrText>
          </w:r>
          <w:r>
            <w:rPr>
              <w:rFonts w:hint="eastAsia" w:ascii="仿宋" w:hAnsi="仿宋" w:eastAsia="仿宋"/>
              <w:sz w:val="24"/>
            </w:rPr>
            <w:instrText xml:space="preserve"> </w:instrText>
          </w:r>
          <w:r>
            <w:rPr>
              <w:rFonts w:hint="eastAsia" w:ascii="仿宋" w:hAnsi="仿宋" w:eastAsia="仿宋"/>
              <w:sz w:val="24"/>
            </w:rPr>
            <w:fldChar w:fldCharType="separate"/>
          </w:r>
          <w:r>
            <w:rPr>
              <w:rFonts w:hint="eastAsia" w:ascii="仿宋" w:hAnsi="仿宋" w:eastAsia="仿宋"/>
              <w:sz w:val="24"/>
            </w:rPr>
            <w:t>7</w:t>
          </w:r>
          <w:r>
            <w:rPr>
              <w:rFonts w:hint="eastAsia" w:ascii="仿宋" w:hAnsi="仿宋" w:eastAsia="仿宋"/>
              <w:sz w:val="24"/>
            </w:rPr>
            <w:fldChar w:fldCharType="end"/>
          </w:r>
          <w:r>
            <w:rPr>
              <w:rFonts w:hint="eastAsia" w:ascii="仿宋" w:hAnsi="仿宋" w:eastAsia="仿宋"/>
              <w:sz w:val="24"/>
            </w:rPr>
            <w:fldChar w:fldCharType="end"/>
          </w:r>
        </w:p>
        <w:p w14:paraId="4AC14EF4">
          <w:pPr>
            <w:pStyle w:val="74"/>
            <w:tabs>
              <w:tab w:val="right" w:leader="dot" w:pos="8296"/>
            </w:tabs>
            <w:ind w:left="440"/>
            <w:rPr>
              <w:rFonts w:hint="eastAsia" w:ascii="仿宋" w:hAnsi="仿宋" w:eastAsia="仿宋"/>
              <w:sz w:val="24"/>
            </w:rPr>
          </w:pPr>
          <w:r>
            <w:fldChar w:fldCharType="begin"/>
          </w:r>
          <w:r>
            <w:instrText xml:space="preserve"> HYPERLINK \l "_Toc182865210" </w:instrText>
          </w:r>
          <w:r>
            <w:fldChar w:fldCharType="separate"/>
          </w:r>
          <w:r>
            <w:rPr>
              <w:rStyle w:val="242"/>
              <w:rFonts w:hint="eastAsia" w:ascii="仿宋" w:hAnsi="仿宋" w:eastAsia="仿宋"/>
              <w:sz w:val="24"/>
            </w:rPr>
            <w:t>（五）绩效评价方法</w:t>
          </w:r>
          <w:r>
            <w:rPr>
              <w:rFonts w:hint="eastAsia" w:ascii="仿宋" w:hAnsi="仿宋" w:eastAsia="仿宋"/>
              <w:sz w:val="24"/>
            </w:rPr>
            <w:tab/>
          </w:r>
          <w:r>
            <w:rPr>
              <w:rFonts w:hint="eastAsia" w:ascii="仿宋" w:hAnsi="仿宋" w:eastAsia="仿宋"/>
              <w:sz w:val="24"/>
            </w:rPr>
            <w:fldChar w:fldCharType="begin"/>
          </w:r>
          <w:r>
            <w:rPr>
              <w:rFonts w:hint="eastAsia" w:ascii="仿宋" w:hAnsi="仿宋" w:eastAsia="仿宋"/>
              <w:sz w:val="24"/>
            </w:rPr>
            <w:instrText xml:space="preserve"> </w:instrText>
          </w:r>
          <w:r>
            <w:rPr>
              <w:rFonts w:ascii="仿宋" w:hAnsi="仿宋" w:eastAsia="仿宋"/>
              <w:sz w:val="24"/>
            </w:rPr>
            <w:instrText xml:space="preserve">PAGEREF _Toc182865210 \h</w:instrText>
          </w:r>
          <w:r>
            <w:rPr>
              <w:rFonts w:hint="eastAsia" w:ascii="仿宋" w:hAnsi="仿宋" w:eastAsia="仿宋"/>
              <w:sz w:val="24"/>
            </w:rPr>
            <w:instrText xml:space="preserve"> </w:instrText>
          </w:r>
          <w:r>
            <w:rPr>
              <w:rFonts w:hint="eastAsia" w:ascii="仿宋" w:hAnsi="仿宋" w:eastAsia="仿宋"/>
              <w:sz w:val="24"/>
            </w:rPr>
            <w:fldChar w:fldCharType="separate"/>
          </w:r>
          <w:r>
            <w:rPr>
              <w:rFonts w:hint="eastAsia" w:ascii="仿宋" w:hAnsi="仿宋" w:eastAsia="仿宋"/>
              <w:sz w:val="24"/>
            </w:rPr>
            <w:t>7</w:t>
          </w:r>
          <w:r>
            <w:rPr>
              <w:rFonts w:hint="eastAsia" w:ascii="仿宋" w:hAnsi="仿宋" w:eastAsia="仿宋"/>
              <w:sz w:val="24"/>
            </w:rPr>
            <w:fldChar w:fldCharType="end"/>
          </w:r>
          <w:r>
            <w:rPr>
              <w:rFonts w:hint="eastAsia" w:ascii="仿宋" w:hAnsi="仿宋" w:eastAsia="仿宋"/>
              <w:sz w:val="24"/>
            </w:rPr>
            <w:fldChar w:fldCharType="end"/>
          </w:r>
        </w:p>
        <w:p w14:paraId="74FEC13A">
          <w:pPr>
            <w:pStyle w:val="74"/>
            <w:tabs>
              <w:tab w:val="right" w:leader="dot" w:pos="8296"/>
            </w:tabs>
            <w:ind w:left="440"/>
            <w:rPr>
              <w:rFonts w:hint="eastAsia" w:ascii="仿宋" w:hAnsi="仿宋" w:eastAsia="仿宋"/>
              <w:sz w:val="24"/>
            </w:rPr>
          </w:pPr>
          <w:r>
            <w:fldChar w:fldCharType="begin"/>
          </w:r>
          <w:r>
            <w:instrText xml:space="preserve"> HYPERLINK \l "_Toc182865211" </w:instrText>
          </w:r>
          <w:r>
            <w:fldChar w:fldCharType="separate"/>
          </w:r>
          <w:r>
            <w:rPr>
              <w:rStyle w:val="242"/>
              <w:rFonts w:hint="eastAsia" w:ascii="仿宋" w:hAnsi="仿宋" w:eastAsia="仿宋"/>
              <w:sz w:val="24"/>
            </w:rPr>
            <w:t>（六）绩效评价过程</w:t>
          </w:r>
          <w:r>
            <w:rPr>
              <w:rFonts w:hint="eastAsia" w:ascii="仿宋" w:hAnsi="仿宋" w:eastAsia="仿宋"/>
              <w:sz w:val="24"/>
            </w:rPr>
            <w:tab/>
          </w:r>
          <w:r>
            <w:rPr>
              <w:rFonts w:hint="eastAsia" w:ascii="仿宋" w:hAnsi="仿宋" w:eastAsia="仿宋"/>
              <w:sz w:val="24"/>
            </w:rPr>
            <w:fldChar w:fldCharType="begin"/>
          </w:r>
          <w:r>
            <w:rPr>
              <w:rFonts w:hint="eastAsia" w:ascii="仿宋" w:hAnsi="仿宋" w:eastAsia="仿宋"/>
              <w:sz w:val="24"/>
            </w:rPr>
            <w:instrText xml:space="preserve"> </w:instrText>
          </w:r>
          <w:r>
            <w:rPr>
              <w:rFonts w:ascii="仿宋" w:hAnsi="仿宋" w:eastAsia="仿宋"/>
              <w:sz w:val="24"/>
            </w:rPr>
            <w:instrText xml:space="preserve">PAGEREF _Toc182865211 \h</w:instrText>
          </w:r>
          <w:r>
            <w:rPr>
              <w:rFonts w:hint="eastAsia" w:ascii="仿宋" w:hAnsi="仿宋" w:eastAsia="仿宋"/>
              <w:sz w:val="24"/>
            </w:rPr>
            <w:instrText xml:space="preserve"> </w:instrText>
          </w:r>
          <w:r>
            <w:rPr>
              <w:rFonts w:hint="eastAsia" w:ascii="仿宋" w:hAnsi="仿宋" w:eastAsia="仿宋"/>
              <w:sz w:val="24"/>
            </w:rPr>
            <w:fldChar w:fldCharType="separate"/>
          </w:r>
          <w:r>
            <w:rPr>
              <w:rFonts w:hint="eastAsia" w:ascii="仿宋" w:hAnsi="仿宋" w:eastAsia="仿宋"/>
              <w:sz w:val="24"/>
            </w:rPr>
            <w:t>8</w:t>
          </w:r>
          <w:r>
            <w:rPr>
              <w:rFonts w:hint="eastAsia" w:ascii="仿宋" w:hAnsi="仿宋" w:eastAsia="仿宋"/>
              <w:sz w:val="24"/>
            </w:rPr>
            <w:fldChar w:fldCharType="end"/>
          </w:r>
          <w:r>
            <w:rPr>
              <w:rFonts w:hint="eastAsia" w:ascii="仿宋" w:hAnsi="仿宋" w:eastAsia="仿宋"/>
              <w:sz w:val="24"/>
            </w:rPr>
            <w:fldChar w:fldCharType="end"/>
          </w:r>
        </w:p>
        <w:p w14:paraId="6C47BF0F">
          <w:pPr>
            <w:pStyle w:val="74"/>
            <w:tabs>
              <w:tab w:val="right" w:leader="dot" w:pos="8296"/>
            </w:tabs>
            <w:ind w:left="440"/>
            <w:rPr>
              <w:rFonts w:hint="eastAsia" w:ascii="仿宋" w:hAnsi="仿宋" w:eastAsia="仿宋"/>
              <w:sz w:val="24"/>
            </w:rPr>
          </w:pPr>
          <w:r>
            <w:fldChar w:fldCharType="begin"/>
          </w:r>
          <w:r>
            <w:instrText xml:space="preserve"> HYPERLINK \l "_Toc182865212" </w:instrText>
          </w:r>
          <w:r>
            <w:fldChar w:fldCharType="separate"/>
          </w:r>
          <w:r>
            <w:rPr>
              <w:rStyle w:val="242"/>
              <w:rFonts w:hint="eastAsia" w:ascii="仿宋" w:hAnsi="仿宋" w:eastAsia="仿宋"/>
              <w:sz w:val="24"/>
            </w:rPr>
            <w:t>（七）绩效评价指标体系</w:t>
          </w:r>
          <w:r>
            <w:rPr>
              <w:rFonts w:hint="eastAsia" w:ascii="仿宋" w:hAnsi="仿宋" w:eastAsia="仿宋"/>
              <w:sz w:val="24"/>
            </w:rPr>
            <w:tab/>
          </w:r>
          <w:r>
            <w:rPr>
              <w:rFonts w:hint="eastAsia" w:ascii="仿宋" w:hAnsi="仿宋" w:eastAsia="仿宋"/>
              <w:sz w:val="24"/>
            </w:rPr>
            <w:fldChar w:fldCharType="begin"/>
          </w:r>
          <w:r>
            <w:rPr>
              <w:rFonts w:hint="eastAsia" w:ascii="仿宋" w:hAnsi="仿宋" w:eastAsia="仿宋"/>
              <w:sz w:val="24"/>
            </w:rPr>
            <w:instrText xml:space="preserve"> </w:instrText>
          </w:r>
          <w:r>
            <w:rPr>
              <w:rFonts w:ascii="仿宋" w:hAnsi="仿宋" w:eastAsia="仿宋"/>
              <w:sz w:val="24"/>
            </w:rPr>
            <w:instrText xml:space="preserve">PAGEREF _Toc182865212 \h</w:instrText>
          </w:r>
          <w:r>
            <w:rPr>
              <w:rFonts w:hint="eastAsia" w:ascii="仿宋" w:hAnsi="仿宋" w:eastAsia="仿宋"/>
              <w:sz w:val="24"/>
            </w:rPr>
            <w:instrText xml:space="preserve"> </w:instrText>
          </w:r>
          <w:r>
            <w:rPr>
              <w:rFonts w:hint="eastAsia" w:ascii="仿宋" w:hAnsi="仿宋" w:eastAsia="仿宋"/>
              <w:sz w:val="24"/>
            </w:rPr>
            <w:fldChar w:fldCharType="separate"/>
          </w:r>
          <w:r>
            <w:rPr>
              <w:rFonts w:hint="eastAsia" w:ascii="仿宋" w:hAnsi="仿宋" w:eastAsia="仿宋"/>
              <w:sz w:val="24"/>
            </w:rPr>
            <w:t>8</w:t>
          </w:r>
          <w:r>
            <w:rPr>
              <w:rFonts w:hint="eastAsia" w:ascii="仿宋" w:hAnsi="仿宋" w:eastAsia="仿宋"/>
              <w:sz w:val="24"/>
            </w:rPr>
            <w:fldChar w:fldCharType="end"/>
          </w:r>
          <w:r>
            <w:rPr>
              <w:rFonts w:hint="eastAsia" w:ascii="仿宋" w:hAnsi="仿宋" w:eastAsia="仿宋"/>
              <w:sz w:val="24"/>
            </w:rPr>
            <w:fldChar w:fldCharType="end"/>
          </w:r>
        </w:p>
        <w:p w14:paraId="17799F5C">
          <w:pPr>
            <w:pStyle w:val="59"/>
            <w:tabs>
              <w:tab w:val="right" w:leader="dot" w:pos="8296"/>
            </w:tabs>
            <w:rPr>
              <w:rFonts w:hint="eastAsia" w:ascii="仿宋" w:hAnsi="仿宋" w:eastAsia="仿宋"/>
              <w:sz w:val="24"/>
            </w:rPr>
          </w:pPr>
          <w:r>
            <w:fldChar w:fldCharType="begin"/>
          </w:r>
          <w:r>
            <w:instrText xml:space="preserve"> HYPERLINK \l "_Toc182865213" </w:instrText>
          </w:r>
          <w:r>
            <w:fldChar w:fldCharType="separate"/>
          </w:r>
          <w:r>
            <w:rPr>
              <w:rStyle w:val="242"/>
              <w:rFonts w:hint="eastAsia" w:ascii="仿宋" w:hAnsi="仿宋" w:eastAsia="仿宋"/>
              <w:sz w:val="24"/>
            </w:rPr>
            <w:t>四、综合评价情况及评价结论</w:t>
          </w:r>
          <w:r>
            <w:rPr>
              <w:rFonts w:hint="eastAsia" w:ascii="仿宋" w:hAnsi="仿宋" w:eastAsia="仿宋"/>
              <w:sz w:val="24"/>
            </w:rPr>
            <w:tab/>
          </w:r>
          <w:r>
            <w:rPr>
              <w:rFonts w:hint="eastAsia" w:ascii="仿宋" w:hAnsi="仿宋" w:eastAsia="仿宋"/>
              <w:sz w:val="24"/>
            </w:rPr>
            <w:fldChar w:fldCharType="begin"/>
          </w:r>
          <w:r>
            <w:rPr>
              <w:rFonts w:hint="eastAsia" w:ascii="仿宋" w:hAnsi="仿宋" w:eastAsia="仿宋"/>
              <w:sz w:val="24"/>
            </w:rPr>
            <w:instrText xml:space="preserve"> </w:instrText>
          </w:r>
          <w:r>
            <w:rPr>
              <w:rFonts w:ascii="仿宋" w:hAnsi="仿宋" w:eastAsia="仿宋"/>
              <w:sz w:val="24"/>
            </w:rPr>
            <w:instrText xml:space="preserve">PAGEREF _Toc182865213 \h</w:instrText>
          </w:r>
          <w:r>
            <w:rPr>
              <w:rFonts w:hint="eastAsia" w:ascii="仿宋" w:hAnsi="仿宋" w:eastAsia="仿宋"/>
              <w:sz w:val="24"/>
            </w:rPr>
            <w:instrText xml:space="preserve"> </w:instrText>
          </w:r>
          <w:r>
            <w:rPr>
              <w:rFonts w:hint="eastAsia" w:ascii="仿宋" w:hAnsi="仿宋" w:eastAsia="仿宋"/>
              <w:sz w:val="24"/>
            </w:rPr>
            <w:fldChar w:fldCharType="separate"/>
          </w:r>
          <w:r>
            <w:rPr>
              <w:rFonts w:hint="eastAsia" w:ascii="仿宋" w:hAnsi="仿宋" w:eastAsia="仿宋"/>
              <w:sz w:val="24"/>
            </w:rPr>
            <w:t>15</w:t>
          </w:r>
          <w:r>
            <w:rPr>
              <w:rFonts w:hint="eastAsia" w:ascii="仿宋" w:hAnsi="仿宋" w:eastAsia="仿宋"/>
              <w:sz w:val="24"/>
            </w:rPr>
            <w:fldChar w:fldCharType="end"/>
          </w:r>
          <w:r>
            <w:rPr>
              <w:rFonts w:hint="eastAsia" w:ascii="仿宋" w:hAnsi="仿宋" w:eastAsia="仿宋"/>
              <w:sz w:val="24"/>
            </w:rPr>
            <w:fldChar w:fldCharType="end"/>
          </w:r>
        </w:p>
        <w:p w14:paraId="2FE3381B">
          <w:pPr>
            <w:pStyle w:val="74"/>
            <w:tabs>
              <w:tab w:val="right" w:leader="dot" w:pos="8296"/>
            </w:tabs>
            <w:ind w:left="440"/>
            <w:rPr>
              <w:rFonts w:hint="eastAsia" w:ascii="仿宋" w:hAnsi="仿宋" w:eastAsia="仿宋"/>
              <w:sz w:val="24"/>
            </w:rPr>
          </w:pPr>
          <w:r>
            <w:fldChar w:fldCharType="begin"/>
          </w:r>
          <w:r>
            <w:instrText xml:space="preserve"> HYPERLINK \l "_Toc182865214" </w:instrText>
          </w:r>
          <w:r>
            <w:fldChar w:fldCharType="separate"/>
          </w:r>
          <w:r>
            <w:rPr>
              <w:rStyle w:val="242"/>
              <w:rFonts w:hint="eastAsia" w:ascii="仿宋" w:hAnsi="仿宋" w:eastAsia="仿宋"/>
              <w:sz w:val="24"/>
            </w:rPr>
            <w:t>（一）项目决策投入情况（权重为16%，得分15分）</w:t>
          </w:r>
          <w:r>
            <w:rPr>
              <w:rFonts w:hint="eastAsia" w:ascii="仿宋" w:hAnsi="仿宋" w:eastAsia="仿宋"/>
              <w:sz w:val="24"/>
            </w:rPr>
            <w:tab/>
          </w:r>
          <w:r>
            <w:rPr>
              <w:rFonts w:hint="eastAsia" w:ascii="仿宋" w:hAnsi="仿宋" w:eastAsia="仿宋"/>
              <w:sz w:val="24"/>
            </w:rPr>
            <w:fldChar w:fldCharType="begin"/>
          </w:r>
          <w:r>
            <w:rPr>
              <w:rFonts w:hint="eastAsia" w:ascii="仿宋" w:hAnsi="仿宋" w:eastAsia="仿宋"/>
              <w:sz w:val="24"/>
            </w:rPr>
            <w:instrText xml:space="preserve"> </w:instrText>
          </w:r>
          <w:r>
            <w:rPr>
              <w:rFonts w:ascii="仿宋" w:hAnsi="仿宋" w:eastAsia="仿宋"/>
              <w:sz w:val="24"/>
            </w:rPr>
            <w:instrText xml:space="preserve">PAGEREF _Toc182865214 \h</w:instrText>
          </w:r>
          <w:r>
            <w:rPr>
              <w:rFonts w:hint="eastAsia" w:ascii="仿宋" w:hAnsi="仿宋" w:eastAsia="仿宋"/>
              <w:sz w:val="24"/>
            </w:rPr>
            <w:instrText xml:space="preserve"> </w:instrText>
          </w:r>
          <w:r>
            <w:rPr>
              <w:rFonts w:hint="eastAsia" w:ascii="仿宋" w:hAnsi="仿宋" w:eastAsia="仿宋"/>
              <w:sz w:val="24"/>
            </w:rPr>
            <w:fldChar w:fldCharType="separate"/>
          </w:r>
          <w:r>
            <w:rPr>
              <w:rFonts w:hint="eastAsia" w:ascii="仿宋" w:hAnsi="仿宋" w:eastAsia="仿宋"/>
              <w:sz w:val="24"/>
            </w:rPr>
            <w:t>15</w:t>
          </w:r>
          <w:r>
            <w:rPr>
              <w:rFonts w:hint="eastAsia" w:ascii="仿宋" w:hAnsi="仿宋" w:eastAsia="仿宋"/>
              <w:sz w:val="24"/>
            </w:rPr>
            <w:fldChar w:fldCharType="end"/>
          </w:r>
          <w:r>
            <w:rPr>
              <w:rFonts w:hint="eastAsia" w:ascii="仿宋" w:hAnsi="仿宋" w:eastAsia="仿宋"/>
              <w:sz w:val="24"/>
            </w:rPr>
            <w:fldChar w:fldCharType="end"/>
          </w:r>
        </w:p>
        <w:p w14:paraId="3AEC39AD">
          <w:pPr>
            <w:pStyle w:val="44"/>
            <w:tabs>
              <w:tab w:val="right" w:leader="dot" w:pos="8296"/>
            </w:tabs>
            <w:ind w:left="880"/>
            <w:rPr>
              <w:rFonts w:hint="eastAsia" w:ascii="仿宋" w:hAnsi="仿宋" w:eastAsia="仿宋"/>
              <w:sz w:val="24"/>
            </w:rPr>
          </w:pPr>
          <w:r>
            <w:fldChar w:fldCharType="begin"/>
          </w:r>
          <w:r>
            <w:instrText xml:space="preserve"> HYPERLINK \l "_Toc182865215" </w:instrText>
          </w:r>
          <w:r>
            <w:fldChar w:fldCharType="separate"/>
          </w:r>
          <w:r>
            <w:rPr>
              <w:rStyle w:val="242"/>
              <w:rFonts w:hint="eastAsia" w:ascii="仿宋" w:hAnsi="仿宋" w:eastAsia="仿宋"/>
              <w:sz w:val="24"/>
            </w:rPr>
            <w:t>1.项目立项（分值为6分）</w:t>
          </w:r>
          <w:r>
            <w:rPr>
              <w:rFonts w:hint="eastAsia" w:ascii="仿宋" w:hAnsi="仿宋" w:eastAsia="仿宋"/>
              <w:sz w:val="24"/>
            </w:rPr>
            <w:tab/>
          </w:r>
          <w:r>
            <w:rPr>
              <w:rFonts w:hint="eastAsia" w:ascii="仿宋" w:hAnsi="仿宋" w:eastAsia="仿宋"/>
              <w:sz w:val="24"/>
            </w:rPr>
            <w:fldChar w:fldCharType="begin"/>
          </w:r>
          <w:r>
            <w:rPr>
              <w:rFonts w:hint="eastAsia" w:ascii="仿宋" w:hAnsi="仿宋" w:eastAsia="仿宋"/>
              <w:sz w:val="24"/>
            </w:rPr>
            <w:instrText xml:space="preserve"> </w:instrText>
          </w:r>
          <w:r>
            <w:rPr>
              <w:rFonts w:ascii="仿宋" w:hAnsi="仿宋" w:eastAsia="仿宋"/>
              <w:sz w:val="24"/>
            </w:rPr>
            <w:instrText xml:space="preserve">PAGEREF _Toc182865215 \h</w:instrText>
          </w:r>
          <w:r>
            <w:rPr>
              <w:rFonts w:hint="eastAsia" w:ascii="仿宋" w:hAnsi="仿宋" w:eastAsia="仿宋"/>
              <w:sz w:val="24"/>
            </w:rPr>
            <w:instrText xml:space="preserve"> </w:instrText>
          </w:r>
          <w:r>
            <w:rPr>
              <w:rFonts w:hint="eastAsia" w:ascii="仿宋" w:hAnsi="仿宋" w:eastAsia="仿宋"/>
              <w:sz w:val="24"/>
            </w:rPr>
            <w:fldChar w:fldCharType="separate"/>
          </w:r>
          <w:r>
            <w:rPr>
              <w:rFonts w:hint="eastAsia" w:ascii="仿宋" w:hAnsi="仿宋" w:eastAsia="仿宋"/>
              <w:sz w:val="24"/>
            </w:rPr>
            <w:t>15</w:t>
          </w:r>
          <w:r>
            <w:rPr>
              <w:rFonts w:hint="eastAsia" w:ascii="仿宋" w:hAnsi="仿宋" w:eastAsia="仿宋"/>
              <w:sz w:val="24"/>
            </w:rPr>
            <w:fldChar w:fldCharType="end"/>
          </w:r>
          <w:r>
            <w:rPr>
              <w:rFonts w:hint="eastAsia" w:ascii="仿宋" w:hAnsi="仿宋" w:eastAsia="仿宋"/>
              <w:sz w:val="24"/>
            </w:rPr>
            <w:fldChar w:fldCharType="end"/>
          </w:r>
        </w:p>
        <w:p w14:paraId="136D81D5">
          <w:pPr>
            <w:pStyle w:val="44"/>
            <w:tabs>
              <w:tab w:val="right" w:leader="dot" w:pos="8296"/>
            </w:tabs>
            <w:ind w:left="880"/>
            <w:rPr>
              <w:rFonts w:hint="eastAsia" w:ascii="仿宋" w:hAnsi="仿宋" w:eastAsia="仿宋"/>
              <w:sz w:val="24"/>
            </w:rPr>
          </w:pPr>
          <w:r>
            <w:fldChar w:fldCharType="begin"/>
          </w:r>
          <w:r>
            <w:instrText xml:space="preserve"> HYPERLINK \l "_Toc182865216" </w:instrText>
          </w:r>
          <w:r>
            <w:fldChar w:fldCharType="separate"/>
          </w:r>
          <w:r>
            <w:rPr>
              <w:rStyle w:val="242"/>
              <w:rFonts w:hint="eastAsia" w:ascii="仿宋" w:hAnsi="仿宋" w:eastAsia="仿宋"/>
              <w:sz w:val="24"/>
            </w:rPr>
            <w:t>2.绩效目标（分值为6分）</w:t>
          </w:r>
          <w:r>
            <w:rPr>
              <w:rFonts w:hint="eastAsia" w:ascii="仿宋" w:hAnsi="仿宋" w:eastAsia="仿宋"/>
              <w:sz w:val="24"/>
            </w:rPr>
            <w:tab/>
          </w:r>
          <w:r>
            <w:rPr>
              <w:rFonts w:hint="eastAsia" w:ascii="仿宋" w:hAnsi="仿宋" w:eastAsia="仿宋"/>
              <w:sz w:val="24"/>
            </w:rPr>
            <w:fldChar w:fldCharType="begin"/>
          </w:r>
          <w:r>
            <w:rPr>
              <w:rFonts w:hint="eastAsia" w:ascii="仿宋" w:hAnsi="仿宋" w:eastAsia="仿宋"/>
              <w:sz w:val="24"/>
            </w:rPr>
            <w:instrText xml:space="preserve"> </w:instrText>
          </w:r>
          <w:r>
            <w:rPr>
              <w:rFonts w:ascii="仿宋" w:hAnsi="仿宋" w:eastAsia="仿宋"/>
              <w:sz w:val="24"/>
            </w:rPr>
            <w:instrText xml:space="preserve">PAGEREF _Toc182865216 \h</w:instrText>
          </w:r>
          <w:r>
            <w:rPr>
              <w:rFonts w:hint="eastAsia" w:ascii="仿宋" w:hAnsi="仿宋" w:eastAsia="仿宋"/>
              <w:sz w:val="24"/>
            </w:rPr>
            <w:instrText xml:space="preserve"> </w:instrText>
          </w:r>
          <w:r>
            <w:rPr>
              <w:rFonts w:hint="eastAsia" w:ascii="仿宋" w:hAnsi="仿宋" w:eastAsia="仿宋"/>
              <w:sz w:val="24"/>
            </w:rPr>
            <w:fldChar w:fldCharType="separate"/>
          </w:r>
          <w:r>
            <w:rPr>
              <w:rFonts w:hint="eastAsia" w:ascii="仿宋" w:hAnsi="仿宋" w:eastAsia="仿宋"/>
              <w:sz w:val="24"/>
            </w:rPr>
            <w:t>16</w:t>
          </w:r>
          <w:r>
            <w:rPr>
              <w:rFonts w:hint="eastAsia" w:ascii="仿宋" w:hAnsi="仿宋" w:eastAsia="仿宋"/>
              <w:sz w:val="24"/>
            </w:rPr>
            <w:fldChar w:fldCharType="end"/>
          </w:r>
          <w:r>
            <w:rPr>
              <w:rFonts w:hint="eastAsia" w:ascii="仿宋" w:hAnsi="仿宋" w:eastAsia="仿宋"/>
              <w:sz w:val="24"/>
            </w:rPr>
            <w:fldChar w:fldCharType="end"/>
          </w:r>
        </w:p>
        <w:p w14:paraId="6B1A9601">
          <w:pPr>
            <w:pStyle w:val="44"/>
            <w:tabs>
              <w:tab w:val="right" w:leader="dot" w:pos="8296"/>
            </w:tabs>
            <w:ind w:left="880"/>
            <w:rPr>
              <w:rFonts w:hint="eastAsia" w:ascii="仿宋" w:hAnsi="仿宋" w:eastAsia="仿宋"/>
              <w:sz w:val="24"/>
            </w:rPr>
          </w:pPr>
          <w:r>
            <w:fldChar w:fldCharType="begin"/>
          </w:r>
          <w:r>
            <w:instrText xml:space="preserve"> HYPERLINK \l "_Toc182865217" </w:instrText>
          </w:r>
          <w:r>
            <w:fldChar w:fldCharType="separate"/>
          </w:r>
          <w:r>
            <w:rPr>
              <w:rStyle w:val="242"/>
              <w:rFonts w:hint="eastAsia" w:ascii="仿宋" w:hAnsi="仿宋" w:eastAsia="仿宋"/>
              <w:sz w:val="24"/>
            </w:rPr>
            <w:t>3.资金投入（分值为4分）</w:t>
          </w:r>
          <w:r>
            <w:rPr>
              <w:rFonts w:hint="eastAsia" w:ascii="仿宋" w:hAnsi="仿宋" w:eastAsia="仿宋"/>
              <w:sz w:val="24"/>
            </w:rPr>
            <w:tab/>
          </w:r>
          <w:r>
            <w:rPr>
              <w:rFonts w:hint="eastAsia" w:ascii="仿宋" w:hAnsi="仿宋" w:eastAsia="仿宋"/>
              <w:sz w:val="24"/>
            </w:rPr>
            <w:fldChar w:fldCharType="begin"/>
          </w:r>
          <w:r>
            <w:rPr>
              <w:rFonts w:hint="eastAsia" w:ascii="仿宋" w:hAnsi="仿宋" w:eastAsia="仿宋"/>
              <w:sz w:val="24"/>
            </w:rPr>
            <w:instrText xml:space="preserve"> </w:instrText>
          </w:r>
          <w:r>
            <w:rPr>
              <w:rFonts w:ascii="仿宋" w:hAnsi="仿宋" w:eastAsia="仿宋"/>
              <w:sz w:val="24"/>
            </w:rPr>
            <w:instrText xml:space="preserve">PAGEREF _Toc182865217 \h</w:instrText>
          </w:r>
          <w:r>
            <w:rPr>
              <w:rFonts w:hint="eastAsia" w:ascii="仿宋" w:hAnsi="仿宋" w:eastAsia="仿宋"/>
              <w:sz w:val="24"/>
            </w:rPr>
            <w:instrText xml:space="preserve"> </w:instrText>
          </w:r>
          <w:r>
            <w:rPr>
              <w:rFonts w:hint="eastAsia" w:ascii="仿宋" w:hAnsi="仿宋" w:eastAsia="仿宋"/>
              <w:sz w:val="24"/>
            </w:rPr>
            <w:fldChar w:fldCharType="separate"/>
          </w:r>
          <w:r>
            <w:rPr>
              <w:rFonts w:hint="eastAsia" w:ascii="仿宋" w:hAnsi="仿宋" w:eastAsia="仿宋"/>
              <w:sz w:val="24"/>
            </w:rPr>
            <w:t>17</w:t>
          </w:r>
          <w:r>
            <w:rPr>
              <w:rFonts w:hint="eastAsia" w:ascii="仿宋" w:hAnsi="仿宋" w:eastAsia="仿宋"/>
              <w:sz w:val="24"/>
            </w:rPr>
            <w:fldChar w:fldCharType="end"/>
          </w:r>
          <w:r>
            <w:rPr>
              <w:rFonts w:hint="eastAsia" w:ascii="仿宋" w:hAnsi="仿宋" w:eastAsia="仿宋"/>
              <w:sz w:val="24"/>
            </w:rPr>
            <w:fldChar w:fldCharType="end"/>
          </w:r>
        </w:p>
        <w:p w14:paraId="75F98518">
          <w:pPr>
            <w:pStyle w:val="74"/>
            <w:tabs>
              <w:tab w:val="right" w:leader="dot" w:pos="8296"/>
            </w:tabs>
            <w:ind w:left="440"/>
            <w:rPr>
              <w:rFonts w:hint="eastAsia" w:ascii="仿宋" w:hAnsi="仿宋" w:eastAsia="仿宋"/>
              <w:sz w:val="24"/>
            </w:rPr>
          </w:pPr>
          <w:r>
            <w:fldChar w:fldCharType="begin"/>
          </w:r>
          <w:r>
            <w:instrText xml:space="preserve"> HYPERLINK \l "_Toc182865218" </w:instrText>
          </w:r>
          <w:r>
            <w:fldChar w:fldCharType="separate"/>
          </w:r>
          <w:r>
            <w:rPr>
              <w:rStyle w:val="242"/>
              <w:rFonts w:hint="eastAsia" w:ascii="仿宋" w:hAnsi="仿宋" w:eastAsia="仿宋"/>
              <w:sz w:val="24"/>
            </w:rPr>
            <w:t>（二）项目过程情况（权重为20%，得分8分）</w:t>
          </w:r>
          <w:r>
            <w:rPr>
              <w:rFonts w:hint="eastAsia" w:ascii="仿宋" w:hAnsi="仿宋" w:eastAsia="仿宋"/>
              <w:sz w:val="24"/>
            </w:rPr>
            <w:tab/>
          </w:r>
          <w:r>
            <w:rPr>
              <w:rFonts w:hint="eastAsia" w:ascii="仿宋" w:hAnsi="仿宋" w:eastAsia="仿宋"/>
              <w:sz w:val="24"/>
            </w:rPr>
            <w:fldChar w:fldCharType="begin"/>
          </w:r>
          <w:r>
            <w:rPr>
              <w:rFonts w:hint="eastAsia" w:ascii="仿宋" w:hAnsi="仿宋" w:eastAsia="仿宋"/>
              <w:sz w:val="24"/>
            </w:rPr>
            <w:instrText xml:space="preserve"> </w:instrText>
          </w:r>
          <w:r>
            <w:rPr>
              <w:rFonts w:ascii="仿宋" w:hAnsi="仿宋" w:eastAsia="仿宋"/>
              <w:sz w:val="24"/>
            </w:rPr>
            <w:instrText xml:space="preserve">PAGEREF _Toc182865218 \h</w:instrText>
          </w:r>
          <w:r>
            <w:rPr>
              <w:rFonts w:hint="eastAsia" w:ascii="仿宋" w:hAnsi="仿宋" w:eastAsia="仿宋"/>
              <w:sz w:val="24"/>
            </w:rPr>
            <w:instrText xml:space="preserve"> </w:instrText>
          </w:r>
          <w:r>
            <w:rPr>
              <w:rFonts w:hint="eastAsia" w:ascii="仿宋" w:hAnsi="仿宋" w:eastAsia="仿宋"/>
              <w:sz w:val="24"/>
            </w:rPr>
            <w:fldChar w:fldCharType="separate"/>
          </w:r>
          <w:r>
            <w:rPr>
              <w:rFonts w:hint="eastAsia" w:ascii="仿宋" w:hAnsi="仿宋" w:eastAsia="仿宋"/>
              <w:sz w:val="24"/>
            </w:rPr>
            <w:t>18</w:t>
          </w:r>
          <w:r>
            <w:rPr>
              <w:rFonts w:hint="eastAsia" w:ascii="仿宋" w:hAnsi="仿宋" w:eastAsia="仿宋"/>
              <w:sz w:val="24"/>
            </w:rPr>
            <w:fldChar w:fldCharType="end"/>
          </w:r>
          <w:r>
            <w:rPr>
              <w:rFonts w:hint="eastAsia" w:ascii="仿宋" w:hAnsi="仿宋" w:eastAsia="仿宋"/>
              <w:sz w:val="24"/>
            </w:rPr>
            <w:fldChar w:fldCharType="end"/>
          </w:r>
        </w:p>
        <w:p w14:paraId="0073D6BE">
          <w:pPr>
            <w:pStyle w:val="44"/>
            <w:tabs>
              <w:tab w:val="right" w:leader="dot" w:pos="8296"/>
            </w:tabs>
            <w:ind w:left="880"/>
            <w:rPr>
              <w:rFonts w:hint="eastAsia" w:ascii="仿宋" w:hAnsi="仿宋" w:eastAsia="仿宋"/>
              <w:sz w:val="24"/>
            </w:rPr>
          </w:pPr>
          <w:r>
            <w:fldChar w:fldCharType="begin"/>
          </w:r>
          <w:r>
            <w:instrText xml:space="preserve"> HYPERLINK \l "_Toc182865219" </w:instrText>
          </w:r>
          <w:r>
            <w:fldChar w:fldCharType="separate"/>
          </w:r>
          <w:r>
            <w:rPr>
              <w:rStyle w:val="242"/>
              <w:rFonts w:hint="eastAsia" w:ascii="仿宋" w:hAnsi="仿宋" w:eastAsia="仿宋"/>
              <w:sz w:val="24"/>
            </w:rPr>
            <w:t>1.绩效管理（9分）</w:t>
          </w:r>
          <w:r>
            <w:rPr>
              <w:rFonts w:hint="eastAsia" w:ascii="仿宋" w:hAnsi="仿宋" w:eastAsia="仿宋"/>
              <w:sz w:val="24"/>
            </w:rPr>
            <w:tab/>
          </w:r>
          <w:r>
            <w:rPr>
              <w:rFonts w:hint="eastAsia" w:ascii="仿宋" w:hAnsi="仿宋" w:eastAsia="仿宋"/>
              <w:sz w:val="24"/>
            </w:rPr>
            <w:fldChar w:fldCharType="begin"/>
          </w:r>
          <w:r>
            <w:rPr>
              <w:rFonts w:hint="eastAsia" w:ascii="仿宋" w:hAnsi="仿宋" w:eastAsia="仿宋"/>
              <w:sz w:val="24"/>
            </w:rPr>
            <w:instrText xml:space="preserve"> </w:instrText>
          </w:r>
          <w:r>
            <w:rPr>
              <w:rFonts w:ascii="仿宋" w:hAnsi="仿宋" w:eastAsia="仿宋"/>
              <w:sz w:val="24"/>
            </w:rPr>
            <w:instrText xml:space="preserve">PAGEREF _Toc182865219 \h</w:instrText>
          </w:r>
          <w:r>
            <w:rPr>
              <w:rFonts w:hint="eastAsia" w:ascii="仿宋" w:hAnsi="仿宋" w:eastAsia="仿宋"/>
              <w:sz w:val="24"/>
            </w:rPr>
            <w:instrText xml:space="preserve"> </w:instrText>
          </w:r>
          <w:r>
            <w:rPr>
              <w:rFonts w:hint="eastAsia" w:ascii="仿宋" w:hAnsi="仿宋" w:eastAsia="仿宋"/>
              <w:sz w:val="24"/>
            </w:rPr>
            <w:fldChar w:fldCharType="separate"/>
          </w:r>
          <w:r>
            <w:rPr>
              <w:rFonts w:hint="eastAsia" w:ascii="仿宋" w:hAnsi="仿宋" w:eastAsia="仿宋"/>
              <w:sz w:val="24"/>
            </w:rPr>
            <w:t>18</w:t>
          </w:r>
          <w:r>
            <w:rPr>
              <w:rFonts w:hint="eastAsia" w:ascii="仿宋" w:hAnsi="仿宋" w:eastAsia="仿宋"/>
              <w:sz w:val="24"/>
            </w:rPr>
            <w:fldChar w:fldCharType="end"/>
          </w:r>
          <w:r>
            <w:rPr>
              <w:rFonts w:hint="eastAsia" w:ascii="仿宋" w:hAnsi="仿宋" w:eastAsia="仿宋"/>
              <w:sz w:val="24"/>
            </w:rPr>
            <w:fldChar w:fldCharType="end"/>
          </w:r>
        </w:p>
        <w:p w14:paraId="7701F596">
          <w:pPr>
            <w:pStyle w:val="44"/>
            <w:tabs>
              <w:tab w:val="right" w:leader="dot" w:pos="8296"/>
            </w:tabs>
            <w:ind w:left="880"/>
            <w:rPr>
              <w:rFonts w:hint="eastAsia" w:ascii="仿宋" w:hAnsi="仿宋" w:eastAsia="仿宋"/>
              <w:sz w:val="24"/>
            </w:rPr>
          </w:pPr>
          <w:r>
            <w:fldChar w:fldCharType="begin"/>
          </w:r>
          <w:r>
            <w:instrText xml:space="preserve"> HYPERLINK \l "_Toc182865220" </w:instrText>
          </w:r>
          <w:r>
            <w:fldChar w:fldCharType="separate"/>
          </w:r>
          <w:r>
            <w:rPr>
              <w:rStyle w:val="242"/>
              <w:rFonts w:hint="eastAsia" w:ascii="仿宋" w:hAnsi="仿宋" w:eastAsia="仿宋"/>
              <w:sz w:val="24"/>
            </w:rPr>
            <w:t>2.组织实施（11分）</w:t>
          </w:r>
          <w:r>
            <w:rPr>
              <w:rFonts w:hint="eastAsia" w:ascii="仿宋" w:hAnsi="仿宋" w:eastAsia="仿宋"/>
              <w:sz w:val="24"/>
            </w:rPr>
            <w:tab/>
          </w:r>
          <w:r>
            <w:rPr>
              <w:rFonts w:hint="eastAsia" w:ascii="仿宋" w:hAnsi="仿宋" w:eastAsia="仿宋"/>
              <w:sz w:val="24"/>
            </w:rPr>
            <w:fldChar w:fldCharType="begin"/>
          </w:r>
          <w:r>
            <w:rPr>
              <w:rFonts w:hint="eastAsia" w:ascii="仿宋" w:hAnsi="仿宋" w:eastAsia="仿宋"/>
              <w:sz w:val="24"/>
            </w:rPr>
            <w:instrText xml:space="preserve"> </w:instrText>
          </w:r>
          <w:r>
            <w:rPr>
              <w:rFonts w:ascii="仿宋" w:hAnsi="仿宋" w:eastAsia="仿宋"/>
              <w:sz w:val="24"/>
            </w:rPr>
            <w:instrText xml:space="preserve">PAGEREF _Toc182865220 \h</w:instrText>
          </w:r>
          <w:r>
            <w:rPr>
              <w:rFonts w:hint="eastAsia" w:ascii="仿宋" w:hAnsi="仿宋" w:eastAsia="仿宋"/>
              <w:sz w:val="24"/>
            </w:rPr>
            <w:instrText xml:space="preserve"> </w:instrText>
          </w:r>
          <w:r>
            <w:rPr>
              <w:rFonts w:hint="eastAsia" w:ascii="仿宋" w:hAnsi="仿宋" w:eastAsia="仿宋"/>
              <w:sz w:val="24"/>
            </w:rPr>
            <w:fldChar w:fldCharType="separate"/>
          </w:r>
          <w:r>
            <w:rPr>
              <w:rFonts w:hint="eastAsia" w:ascii="仿宋" w:hAnsi="仿宋" w:eastAsia="仿宋"/>
              <w:sz w:val="24"/>
            </w:rPr>
            <w:t>19</w:t>
          </w:r>
          <w:r>
            <w:rPr>
              <w:rFonts w:hint="eastAsia" w:ascii="仿宋" w:hAnsi="仿宋" w:eastAsia="仿宋"/>
              <w:sz w:val="24"/>
            </w:rPr>
            <w:fldChar w:fldCharType="end"/>
          </w:r>
          <w:r>
            <w:rPr>
              <w:rFonts w:hint="eastAsia" w:ascii="仿宋" w:hAnsi="仿宋" w:eastAsia="仿宋"/>
              <w:sz w:val="24"/>
            </w:rPr>
            <w:fldChar w:fldCharType="end"/>
          </w:r>
        </w:p>
        <w:p w14:paraId="21376F09">
          <w:pPr>
            <w:pStyle w:val="74"/>
            <w:tabs>
              <w:tab w:val="right" w:leader="dot" w:pos="8296"/>
            </w:tabs>
            <w:ind w:left="440"/>
            <w:rPr>
              <w:rFonts w:hint="eastAsia" w:ascii="仿宋" w:hAnsi="仿宋" w:eastAsia="仿宋"/>
              <w:sz w:val="24"/>
            </w:rPr>
          </w:pPr>
          <w:r>
            <w:fldChar w:fldCharType="begin"/>
          </w:r>
          <w:r>
            <w:instrText xml:space="preserve"> HYPERLINK \l "_Toc182865221" </w:instrText>
          </w:r>
          <w:r>
            <w:fldChar w:fldCharType="separate"/>
          </w:r>
          <w:r>
            <w:rPr>
              <w:rStyle w:val="242"/>
              <w:rFonts w:hint="eastAsia" w:ascii="仿宋" w:hAnsi="仿宋" w:eastAsia="仿宋"/>
              <w:sz w:val="24"/>
            </w:rPr>
            <w:t>（三）项目产出情况（权重为30%，得分27分）</w:t>
          </w:r>
          <w:r>
            <w:rPr>
              <w:rFonts w:hint="eastAsia" w:ascii="仿宋" w:hAnsi="仿宋" w:eastAsia="仿宋"/>
              <w:sz w:val="24"/>
            </w:rPr>
            <w:tab/>
          </w:r>
          <w:r>
            <w:rPr>
              <w:rFonts w:hint="eastAsia" w:ascii="仿宋" w:hAnsi="仿宋" w:eastAsia="仿宋"/>
              <w:sz w:val="24"/>
            </w:rPr>
            <w:fldChar w:fldCharType="begin"/>
          </w:r>
          <w:r>
            <w:rPr>
              <w:rFonts w:hint="eastAsia" w:ascii="仿宋" w:hAnsi="仿宋" w:eastAsia="仿宋"/>
              <w:sz w:val="24"/>
            </w:rPr>
            <w:instrText xml:space="preserve"> </w:instrText>
          </w:r>
          <w:r>
            <w:rPr>
              <w:rFonts w:ascii="仿宋" w:hAnsi="仿宋" w:eastAsia="仿宋"/>
              <w:sz w:val="24"/>
            </w:rPr>
            <w:instrText xml:space="preserve">PAGEREF _Toc182865221 \h</w:instrText>
          </w:r>
          <w:r>
            <w:rPr>
              <w:rFonts w:hint="eastAsia" w:ascii="仿宋" w:hAnsi="仿宋" w:eastAsia="仿宋"/>
              <w:sz w:val="24"/>
            </w:rPr>
            <w:instrText xml:space="preserve"> </w:instrText>
          </w:r>
          <w:r>
            <w:rPr>
              <w:rFonts w:hint="eastAsia" w:ascii="仿宋" w:hAnsi="仿宋" w:eastAsia="仿宋"/>
              <w:sz w:val="24"/>
            </w:rPr>
            <w:fldChar w:fldCharType="separate"/>
          </w:r>
          <w:r>
            <w:rPr>
              <w:rFonts w:hint="eastAsia" w:ascii="仿宋" w:hAnsi="仿宋" w:eastAsia="仿宋"/>
              <w:sz w:val="24"/>
            </w:rPr>
            <w:t>21</w:t>
          </w:r>
          <w:r>
            <w:rPr>
              <w:rFonts w:hint="eastAsia" w:ascii="仿宋" w:hAnsi="仿宋" w:eastAsia="仿宋"/>
              <w:sz w:val="24"/>
            </w:rPr>
            <w:fldChar w:fldCharType="end"/>
          </w:r>
          <w:r>
            <w:rPr>
              <w:rFonts w:hint="eastAsia" w:ascii="仿宋" w:hAnsi="仿宋" w:eastAsia="仿宋"/>
              <w:sz w:val="24"/>
            </w:rPr>
            <w:fldChar w:fldCharType="end"/>
          </w:r>
        </w:p>
        <w:p w14:paraId="66AB6EBB">
          <w:pPr>
            <w:pStyle w:val="44"/>
            <w:tabs>
              <w:tab w:val="right" w:leader="dot" w:pos="8296"/>
            </w:tabs>
            <w:ind w:left="880"/>
            <w:rPr>
              <w:rFonts w:hint="eastAsia" w:ascii="仿宋" w:hAnsi="仿宋" w:eastAsia="仿宋"/>
              <w:sz w:val="24"/>
            </w:rPr>
          </w:pPr>
          <w:r>
            <w:fldChar w:fldCharType="begin"/>
          </w:r>
          <w:r>
            <w:instrText xml:space="preserve"> HYPERLINK \l "_Toc182865222" </w:instrText>
          </w:r>
          <w:r>
            <w:fldChar w:fldCharType="separate"/>
          </w:r>
          <w:r>
            <w:rPr>
              <w:rStyle w:val="242"/>
              <w:rFonts w:hint="eastAsia" w:ascii="仿宋" w:hAnsi="仿宋" w:eastAsia="仿宋"/>
              <w:sz w:val="24"/>
            </w:rPr>
            <w:t>1.产出数量（分值为20分）</w:t>
          </w:r>
          <w:r>
            <w:rPr>
              <w:rFonts w:hint="eastAsia" w:ascii="仿宋" w:hAnsi="仿宋" w:eastAsia="仿宋"/>
              <w:sz w:val="24"/>
            </w:rPr>
            <w:tab/>
          </w:r>
          <w:r>
            <w:rPr>
              <w:rFonts w:hint="eastAsia" w:ascii="仿宋" w:hAnsi="仿宋" w:eastAsia="仿宋"/>
              <w:sz w:val="24"/>
            </w:rPr>
            <w:fldChar w:fldCharType="begin"/>
          </w:r>
          <w:r>
            <w:rPr>
              <w:rFonts w:hint="eastAsia" w:ascii="仿宋" w:hAnsi="仿宋" w:eastAsia="仿宋"/>
              <w:sz w:val="24"/>
            </w:rPr>
            <w:instrText xml:space="preserve"> </w:instrText>
          </w:r>
          <w:r>
            <w:rPr>
              <w:rFonts w:ascii="仿宋" w:hAnsi="仿宋" w:eastAsia="仿宋"/>
              <w:sz w:val="24"/>
            </w:rPr>
            <w:instrText xml:space="preserve">PAGEREF _Toc182865222 \h</w:instrText>
          </w:r>
          <w:r>
            <w:rPr>
              <w:rFonts w:hint="eastAsia" w:ascii="仿宋" w:hAnsi="仿宋" w:eastAsia="仿宋"/>
              <w:sz w:val="24"/>
            </w:rPr>
            <w:instrText xml:space="preserve"> </w:instrText>
          </w:r>
          <w:r>
            <w:rPr>
              <w:rFonts w:hint="eastAsia" w:ascii="仿宋" w:hAnsi="仿宋" w:eastAsia="仿宋"/>
              <w:sz w:val="24"/>
            </w:rPr>
            <w:fldChar w:fldCharType="separate"/>
          </w:r>
          <w:r>
            <w:rPr>
              <w:rFonts w:hint="eastAsia" w:ascii="仿宋" w:hAnsi="仿宋" w:eastAsia="仿宋"/>
              <w:sz w:val="24"/>
            </w:rPr>
            <w:t>21</w:t>
          </w:r>
          <w:r>
            <w:rPr>
              <w:rFonts w:hint="eastAsia" w:ascii="仿宋" w:hAnsi="仿宋" w:eastAsia="仿宋"/>
              <w:sz w:val="24"/>
            </w:rPr>
            <w:fldChar w:fldCharType="end"/>
          </w:r>
          <w:r>
            <w:rPr>
              <w:rFonts w:hint="eastAsia" w:ascii="仿宋" w:hAnsi="仿宋" w:eastAsia="仿宋"/>
              <w:sz w:val="24"/>
            </w:rPr>
            <w:fldChar w:fldCharType="end"/>
          </w:r>
        </w:p>
        <w:p w14:paraId="59C3DA31">
          <w:pPr>
            <w:pStyle w:val="44"/>
            <w:tabs>
              <w:tab w:val="right" w:leader="dot" w:pos="8296"/>
            </w:tabs>
            <w:ind w:left="880"/>
            <w:rPr>
              <w:rFonts w:hint="eastAsia" w:ascii="仿宋" w:hAnsi="仿宋" w:eastAsia="仿宋"/>
              <w:sz w:val="24"/>
            </w:rPr>
          </w:pPr>
          <w:r>
            <w:fldChar w:fldCharType="begin"/>
          </w:r>
          <w:r>
            <w:instrText xml:space="preserve"> HYPERLINK \l "_Toc182865223" </w:instrText>
          </w:r>
          <w:r>
            <w:fldChar w:fldCharType="separate"/>
          </w:r>
          <w:r>
            <w:rPr>
              <w:rStyle w:val="242"/>
              <w:rFonts w:hint="eastAsia" w:ascii="仿宋" w:hAnsi="仿宋" w:eastAsia="仿宋"/>
              <w:sz w:val="24"/>
            </w:rPr>
            <w:t>2.产出质量（分值为8分）</w:t>
          </w:r>
          <w:r>
            <w:rPr>
              <w:rFonts w:hint="eastAsia" w:ascii="仿宋" w:hAnsi="仿宋" w:eastAsia="仿宋"/>
              <w:sz w:val="24"/>
            </w:rPr>
            <w:tab/>
          </w:r>
          <w:r>
            <w:rPr>
              <w:rFonts w:hint="eastAsia" w:ascii="仿宋" w:hAnsi="仿宋" w:eastAsia="仿宋"/>
              <w:sz w:val="24"/>
            </w:rPr>
            <w:fldChar w:fldCharType="begin"/>
          </w:r>
          <w:r>
            <w:rPr>
              <w:rFonts w:hint="eastAsia" w:ascii="仿宋" w:hAnsi="仿宋" w:eastAsia="仿宋"/>
              <w:sz w:val="24"/>
            </w:rPr>
            <w:instrText xml:space="preserve"> </w:instrText>
          </w:r>
          <w:r>
            <w:rPr>
              <w:rFonts w:ascii="仿宋" w:hAnsi="仿宋" w:eastAsia="仿宋"/>
              <w:sz w:val="24"/>
            </w:rPr>
            <w:instrText xml:space="preserve">PAGEREF _Toc182865223 \h</w:instrText>
          </w:r>
          <w:r>
            <w:rPr>
              <w:rFonts w:hint="eastAsia" w:ascii="仿宋" w:hAnsi="仿宋" w:eastAsia="仿宋"/>
              <w:sz w:val="24"/>
            </w:rPr>
            <w:instrText xml:space="preserve"> </w:instrText>
          </w:r>
          <w:r>
            <w:rPr>
              <w:rFonts w:hint="eastAsia" w:ascii="仿宋" w:hAnsi="仿宋" w:eastAsia="仿宋"/>
              <w:sz w:val="24"/>
            </w:rPr>
            <w:fldChar w:fldCharType="separate"/>
          </w:r>
          <w:r>
            <w:rPr>
              <w:rFonts w:hint="eastAsia" w:ascii="仿宋" w:hAnsi="仿宋" w:eastAsia="仿宋"/>
              <w:sz w:val="24"/>
            </w:rPr>
            <w:t>23</w:t>
          </w:r>
          <w:r>
            <w:rPr>
              <w:rFonts w:hint="eastAsia" w:ascii="仿宋" w:hAnsi="仿宋" w:eastAsia="仿宋"/>
              <w:sz w:val="24"/>
            </w:rPr>
            <w:fldChar w:fldCharType="end"/>
          </w:r>
          <w:r>
            <w:rPr>
              <w:rFonts w:hint="eastAsia" w:ascii="仿宋" w:hAnsi="仿宋" w:eastAsia="仿宋"/>
              <w:sz w:val="24"/>
            </w:rPr>
            <w:fldChar w:fldCharType="end"/>
          </w:r>
        </w:p>
        <w:p w14:paraId="499676F9">
          <w:pPr>
            <w:pStyle w:val="44"/>
            <w:tabs>
              <w:tab w:val="right" w:leader="dot" w:pos="8296"/>
            </w:tabs>
            <w:ind w:left="880"/>
            <w:rPr>
              <w:rFonts w:hint="eastAsia" w:ascii="仿宋" w:hAnsi="仿宋" w:eastAsia="仿宋"/>
              <w:sz w:val="24"/>
            </w:rPr>
          </w:pPr>
          <w:r>
            <w:fldChar w:fldCharType="begin"/>
          </w:r>
          <w:r>
            <w:instrText xml:space="preserve"> HYPERLINK \l "_Toc182865224" </w:instrText>
          </w:r>
          <w:r>
            <w:fldChar w:fldCharType="separate"/>
          </w:r>
          <w:r>
            <w:rPr>
              <w:rStyle w:val="242"/>
              <w:rFonts w:hint="eastAsia" w:ascii="仿宋" w:hAnsi="仿宋" w:eastAsia="仿宋"/>
              <w:sz w:val="24"/>
            </w:rPr>
            <w:t>3.产出成本（分值为2分）</w:t>
          </w:r>
          <w:r>
            <w:rPr>
              <w:rFonts w:hint="eastAsia" w:ascii="仿宋" w:hAnsi="仿宋" w:eastAsia="仿宋"/>
              <w:sz w:val="24"/>
            </w:rPr>
            <w:tab/>
          </w:r>
          <w:r>
            <w:rPr>
              <w:rFonts w:hint="eastAsia" w:ascii="仿宋" w:hAnsi="仿宋" w:eastAsia="仿宋"/>
              <w:sz w:val="24"/>
            </w:rPr>
            <w:fldChar w:fldCharType="begin"/>
          </w:r>
          <w:r>
            <w:rPr>
              <w:rFonts w:hint="eastAsia" w:ascii="仿宋" w:hAnsi="仿宋" w:eastAsia="仿宋"/>
              <w:sz w:val="24"/>
            </w:rPr>
            <w:instrText xml:space="preserve"> </w:instrText>
          </w:r>
          <w:r>
            <w:rPr>
              <w:rFonts w:ascii="仿宋" w:hAnsi="仿宋" w:eastAsia="仿宋"/>
              <w:sz w:val="24"/>
            </w:rPr>
            <w:instrText xml:space="preserve">PAGEREF _Toc182865224 \h</w:instrText>
          </w:r>
          <w:r>
            <w:rPr>
              <w:rFonts w:hint="eastAsia" w:ascii="仿宋" w:hAnsi="仿宋" w:eastAsia="仿宋"/>
              <w:sz w:val="24"/>
            </w:rPr>
            <w:instrText xml:space="preserve"> </w:instrText>
          </w:r>
          <w:r>
            <w:rPr>
              <w:rFonts w:hint="eastAsia" w:ascii="仿宋" w:hAnsi="仿宋" w:eastAsia="仿宋"/>
              <w:sz w:val="24"/>
            </w:rPr>
            <w:fldChar w:fldCharType="separate"/>
          </w:r>
          <w:r>
            <w:rPr>
              <w:rFonts w:hint="eastAsia" w:ascii="仿宋" w:hAnsi="仿宋" w:eastAsia="仿宋"/>
              <w:sz w:val="24"/>
            </w:rPr>
            <w:t>24</w:t>
          </w:r>
          <w:r>
            <w:rPr>
              <w:rFonts w:hint="eastAsia" w:ascii="仿宋" w:hAnsi="仿宋" w:eastAsia="仿宋"/>
              <w:sz w:val="24"/>
            </w:rPr>
            <w:fldChar w:fldCharType="end"/>
          </w:r>
          <w:r>
            <w:rPr>
              <w:rFonts w:hint="eastAsia" w:ascii="仿宋" w:hAnsi="仿宋" w:eastAsia="仿宋"/>
              <w:sz w:val="24"/>
            </w:rPr>
            <w:fldChar w:fldCharType="end"/>
          </w:r>
        </w:p>
        <w:p w14:paraId="2C5EFAE3">
          <w:pPr>
            <w:pStyle w:val="74"/>
            <w:tabs>
              <w:tab w:val="right" w:leader="dot" w:pos="8296"/>
            </w:tabs>
            <w:ind w:left="440"/>
            <w:rPr>
              <w:rFonts w:hint="eastAsia" w:ascii="仿宋" w:hAnsi="仿宋" w:eastAsia="仿宋"/>
              <w:sz w:val="24"/>
            </w:rPr>
          </w:pPr>
          <w:r>
            <w:fldChar w:fldCharType="begin"/>
          </w:r>
          <w:r>
            <w:instrText xml:space="preserve"> HYPERLINK \l "_Toc182865225" </w:instrText>
          </w:r>
          <w:r>
            <w:fldChar w:fldCharType="separate"/>
          </w:r>
          <w:r>
            <w:rPr>
              <w:rStyle w:val="242"/>
              <w:rFonts w:hint="eastAsia" w:ascii="仿宋" w:hAnsi="仿宋" w:eastAsia="仿宋"/>
              <w:sz w:val="24"/>
            </w:rPr>
            <w:t>（四）项目效益情况（权重为34%，得分32分）</w:t>
          </w:r>
          <w:r>
            <w:rPr>
              <w:rFonts w:hint="eastAsia" w:ascii="仿宋" w:hAnsi="仿宋" w:eastAsia="仿宋"/>
              <w:sz w:val="24"/>
            </w:rPr>
            <w:tab/>
          </w:r>
          <w:r>
            <w:rPr>
              <w:rFonts w:hint="eastAsia" w:ascii="仿宋" w:hAnsi="仿宋" w:eastAsia="仿宋"/>
              <w:sz w:val="24"/>
            </w:rPr>
            <w:fldChar w:fldCharType="begin"/>
          </w:r>
          <w:r>
            <w:rPr>
              <w:rFonts w:hint="eastAsia" w:ascii="仿宋" w:hAnsi="仿宋" w:eastAsia="仿宋"/>
              <w:sz w:val="24"/>
            </w:rPr>
            <w:instrText xml:space="preserve"> </w:instrText>
          </w:r>
          <w:r>
            <w:rPr>
              <w:rFonts w:ascii="仿宋" w:hAnsi="仿宋" w:eastAsia="仿宋"/>
              <w:sz w:val="24"/>
            </w:rPr>
            <w:instrText xml:space="preserve">PAGEREF _Toc182865225 \h</w:instrText>
          </w:r>
          <w:r>
            <w:rPr>
              <w:rFonts w:hint="eastAsia" w:ascii="仿宋" w:hAnsi="仿宋" w:eastAsia="仿宋"/>
              <w:sz w:val="24"/>
            </w:rPr>
            <w:instrText xml:space="preserve"> </w:instrText>
          </w:r>
          <w:r>
            <w:rPr>
              <w:rFonts w:hint="eastAsia" w:ascii="仿宋" w:hAnsi="仿宋" w:eastAsia="仿宋"/>
              <w:sz w:val="24"/>
            </w:rPr>
            <w:fldChar w:fldCharType="separate"/>
          </w:r>
          <w:r>
            <w:rPr>
              <w:rFonts w:hint="eastAsia" w:ascii="仿宋" w:hAnsi="仿宋" w:eastAsia="仿宋"/>
              <w:sz w:val="24"/>
            </w:rPr>
            <w:t>24</w:t>
          </w:r>
          <w:r>
            <w:rPr>
              <w:rFonts w:hint="eastAsia" w:ascii="仿宋" w:hAnsi="仿宋" w:eastAsia="仿宋"/>
              <w:sz w:val="24"/>
            </w:rPr>
            <w:fldChar w:fldCharType="end"/>
          </w:r>
          <w:r>
            <w:rPr>
              <w:rFonts w:hint="eastAsia" w:ascii="仿宋" w:hAnsi="仿宋" w:eastAsia="仿宋"/>
              <w:sz w:val="24"/>
            </w:rPr>
            <w:fldChar w:fldCharType="end"/>
          </w:r>
        </w:p>
        <w:p w14:paraId="52CB946E">
          <w:pPr>
            <w:pStyle w:val="44"/>
            <w:tabs>
              <w:tab w:val="right" w:leader="dot" w:pos="8296"/>
            </w:tabs>
            <w:ind w:left="880"/>
            <w:rPr>
              <w:rFonts w:hint="eastAsia" w:ascii="仿宋" w:hAnsi="仿宋" w:eastAsia="仿宋"/>
              <w:sz w:val="24"/>
            </w:rPr>
          </w:pPr>
          <w:r>
            <w:fldChar w:fldCharType="begin"/>
          </w:r>
          <w:r>
            <w:instrText xml:space="preserve"> HYPERLINK \l "_Toc182865226" </w:instrText>
          </w:r>
          <w:r>
            <w:fldChar w:fldCharType="separate"/>
          </w:r>
          <w:r>
            <w:rPr>
              <w:rStyle w:val="242"/>
              <w:rFonts w:hint="eastAsia" w:ascii="仿宋" w:hAnsi="仿宋" w:eastAsia="仿宋"/>
              <w:sz w:val="24"/>
            </w:rPr>
            <w:t>1.社会效益（25分）</w:t>
          </w:r>
          <w:r>
            <w:rPr>
              <w:rFonts w:hint="eastAsia" w:ascii="仿宋" w:hAnsi="仿宋" w:eastAsia="仿宋"/>
              <w:sz w:val="24"/>
            </w:rPr>
            <w:tab/>
          </w:r>
          <w:r>
            <w:rPr>
              <w:rFonts w:hint="eastAsia" w:ascii="仿宋" w:hAnsi="仿宋" w:eastAsia="仿宋"/>
              <w:sz w:val="24"/>
            </w:rPr>
            <w:fldChar w:fldCharType="begin"/>
          </w:r>
          <w:r>
            <w:rPr>
              <w:rFonts w:hint="eastAsia" w:ascii="仿宋" w:hAnsi="仿宋" w:eastAsia="仿宋"/>
              <w:sz w:val="24"/>
            </w:rPr>
            <w:instrText xml:space="preserve"> </w:instrText>
          </w:r>
          <w:r>
            <w:rPr>
              <w:rFonts w:ascii="仿宋" w:hAnsi="仿宋" w:eastAsia="仿宋"/>
              <w:sz w:val="24"/>
            </w:rPr>
            <w:instrText xml:space="preserve">PAGEREF _Toc182865226 \h</w:instrText>
          </w:r>
          <w:r>
            <w:rPr>
              <w:rFonts w:hint="eastAsia" w:ascii="仿宋" w:hAnsi="仿宋" w:eastAsia="仿宋"/>
              <w:sz w:val="24"/>
            </w:rPr>
            <w:instrText xml:space="preserve"> </w:instrText>
          </w:r>
          <w:r>
            <w:rPr>
              <w:rFonts w:hint="eastAsia" w:ascii="仿宋" w:hAnsi="仿宋" w:eastAsia="仿宋"/>
              <w:sz w:val="24"/>
            </w:rPr>
            <w:fldChar w:fldCharType="separate"/>
          </w:r>
          <w:r>
            <w:rPr>
              <w:rFonts w:hint="eastAsia" w:ascii="仿宋" w:hAnsi="仿宋" w:eastAsia="仿宋"/>
              <w:sz w:val="24"/>
            </w:rPr>
            <w:t>25</w:t>
          </w:r>
          <w:r>
            <w:rPr>
              <w:rFonts w:hint="eastAsia" w:ascii="仿宋" w:hAnsi="仿宋" w:eastAsia="仿宋"/>
              <w:sz w:val="24"/>
            </w:rPr>
            <w:fldChar w:fldCharType="end"/>
          </w:r>
          <w:r>
            <w:rPr>
              <w:rFonts w:hint="eastAsia" w:ascii="仿宋" w:hAnsi="仿宋" w:eastAsia="仿宋"/>
              <w:sz w:val="24"/>
            </w:rPr>
            <w:fldChar w:fldCharType="end"/>
          </w:r>
        </w:p>
        <w:p w14:paraId="670A221D">
          <w:pPr>
            <w:pStyle w:val="44"/>
            <w:tabs>
              <w:tab w:val="right" w:leader="dot" w:pos="8296"/>
            </w:tabs>
            <w:ind w:left="880"/>
            <w:rPr>
              <w:rFonts w:hint="eastAsia" w:ascii="仿宋" w:hAnsi="仿宋" w:eastAsia="仿宋"/>
              <w:sz w:val="24"/>
            </w:rPr>
          </w:pPr>
          <w:r>
            <w:fldChar w:fldCharType="begin"/>
          </w:r>
          <w:r>
            <w:instrText xml:space="preserve"> HYPERLINK \l "_Toc182865227" </w:instrText>
          </w:r>
          <w:r>
            <w:fldChar w:fldCharType="separate"/>
          </w:r>
          <w:r>
            <w:rPr>
              <w:rStyle w:val="242"/>
              <w:rFonts w:hint="eastAsia" w:ascii="仿宋" w:hAnsi="仿宋" w:eastAsia="仿宋"/>
              <w:sz w:val="24"/>
            </w:rPr>
            <w:t>2.经济效益（5分）</w:t>
          </w:r>
          <w:r>
            <w:rPr>
              <w:rFonts w:hint="eastAsia" w:ascii="仿宋" w:hAnsi="仿宋" w:eastAsia="仿宋"/>
              <w:sz w:val="24"/>
            </w:rPr>
            <w:tab/>
          </w:r>
          <w:r>
            <w:rPr>
              <w:rFonts w:hint="eastAsia" w:ascii="仿宋" w:hAnsi="仿宋" w:eastAsia="仿宋"/>
              <w:sz w:val="24"/>
            </w:rPr>
            <w:fldChar w:fldCharType="begin"/>
          </w:r>
          <w:r>
            <w:rPr>
              <w:rFonts w:hint="eastAsia" w:ascii="仿宋" w:hAnsi="仿宋" w:eastAsia="仿宋"/>
              <w:sz w:val="24"/>
            </w:rPr>
            <w:instrText xml:space="preserve"> </w:instrText>
          </w:r>
          <w:r>
            <w:rPr>
              <w:rFonts w:ascii="仿宋" w:hAnsi="仿宋" w:eastAsia="仿宋"/>
              <w:sz w:val="24"/>
            </w:rPr>
            <w:instrText xml:space="preserve">PAGEREF _Toc182865227 \h</w:instrText>
          </w:r>
          <w:r>
            <w:rPr>
              <w:rFonts w:hint="eastAsia" w:ascii="仿宋" w:hAnsi="仿宋" w:eastAsia="仿宋"/>
              <w:sz w:val="24"/>
            </w:rPr>
            <w:instrText xml:space="preserve"> </w:instrText>
          </w:r>
          <w:r>
            <w:rPr>
              <w:rFonts w:hint="eastAsia" w:ascii="仿宋" w:hAnsi="仿宋" w:eastAsia="仿宋"/>
              <w:sz w:val="24"/>
            </w:rPr>
            <w:fldChar w:fldCharType="separate"/>
          </w:r>
          <w:r>
            <w:rPr>
              <w:rFonts w:hint="eastAsia" w:ascii="仿宋" w:hAnsi="仿宋" w:eastAsia="仿宋"/>
              <w:sz w:val="24"/>
            </w:rPr>
            <w:t>27</w:t>
          </w:r>
          <w:r>
            <w:rPr>
              <w:rFonts w:hint="eastAsia" w:ascii="仿宋" w:hAnsi="仿宋" w:eastAsia="仿宋"/>
              <w:sz w:val="24"/>
            </w:rPr>
            <w:fldChar w:fldCharType="end"/>
          </w:r>
          <w:r>
            <w:rPr>
              <w:rFonts w:hint="eastAsia" w:ascii="仿宋" w:hAnsi="仿宋" w:eastAsia="仿宋"/>
              <w:sz w:val="24"/>
            </w:rPr>
            <w:fldChar w:fldCharType="end"/>
          </w:r>
        </w:p>
        <w:p w14:paraId="0ACBB0CB">
          <w:pPr>
            <w:pStyle w:val="44"/>
            <w:tabs>
              <w:tab w:val="right" w:leader="dot" w:pos="8296"/>
            </w:tabs>
            <w:ind w:left="880"/>
            <w:rPr>
              <w:rFonts w:hint="eastAsia" w:ascii="仿宋" w:hAnsi="仿宋" w:eastAsia="仿宋"/>
              <w:sz w:val="24"/>
            </w:rPr>
          </w:pPr>
          <w:r>
            <w:fldChar w:fldCharType="begin"/>
          </w:r>
          <w:r>
            <w:instrText xml:space="preserve"> HYPERLINK \l "_Toc182865228" </w:instrText>
          </w:r>
          <w:r>
            <w:fldChar w:fldCharType="separate"/>
          </w:r>
          <w:r>
            <w:rPr>
              <w:rStyle w:val="242"/>
              <w:rFonts w:hint="eastAsia" w:ascii="仿宋" w:hAnsi="仿宋" w:eastAsia="仿宋"/>
              <w:sz w:val="24"/>
            </w:rPr>
            <w:t>3.满意度指标（4分）</w:t>
          </w:r>
          <w:r>
            <w:rPr>
              <w:rFonts w:hint="eastAsia" w:ascii="仿宋" w:hAnsi="仿宋" w:eastAsia="仿宋"/>
              <w:sz w:val="24"/>
            </w:rPr>
            <w:tab/>
          </w:r>
          <w:r>
            <w:rPr>
              <w:rFonts w:hint="eastAsia" w:ascii="仿宋" w:hAnsi="仿宋" w:eastAsia="仿宋"/>
              <w:sz w:val="24"/>
            </w:rPr>
            <w:fldChar w:fldCharType="begin"/>
          </w:r>
          <w:r>
            <w:rPr>
              <w:rFonts w:hint="eastAsia" w:ascii="仿宋" w:hAnsi="仿宋" w:eastAsia="仿宋"/>
              <w:sz w:val="24"/>
            </w:rPr>
            <w:instrText xml:space="preserve"> </w:instrText>
          </w:r>
          <w:r>
            <w:rPr>
              <w:rFonts w:ascii="仿宋" w:hAnsi="仿宋" w:eastAsia="仿宋"/>
              <w:sz w:val="24"/>
            </w:rPr>
            <w:instrText xml:space="preserve">PAGEREF _Toc182865228 \h</w:instrText>
          </w:r>
          <w:r>
            <w:rPr>
              <w:rFonts w:hint="eastAsia" w:ascii="仿宋" w:hAnsi="仿宋" w:eastAsia="仿宋"/>
              <w:sz w:val="24"/>
            </w:rPr>
            <w:instrText xml:space="preserve"> </w:instrText>
          </w:r>
          <w:r>
            <w:rPr>
              <w:rFonts w:hint="eastAsia" w:ascii="仿宋" w:hAnsi="仿宋" w:eastAsia="仿宋"/>
              <w:sz w:val="24"/>
            </w:rPr>
            <w:fldChar w:fldCharType="separate"/>
          </w:r>
          <w:r>
            <w:rPr>
              <w:rFonts w:hint="eastAsia" w:ascii="仿宋" w:hAnsi="仿宋" w:eastAsia="仿宋"/>
              <w:sz w:val="24"/>
            </w:rPr>
            <w:t>27</w:t>
          </w:r>
          <w:r>
            <w:rPr>
              <w:rFonts w:hint="eastAsia" w:ascii="仿宋" w:hAnsi="仿宋" w:eastAsia="仿宋"/>
              <w:sz w:val="24"/>
            </w:rPr>
            <w:fldChar w:fldCharType="end"/>
          </w:r>
          <w:r>
            <w:rPr>
              <w:rFonts w:hint="eastAsia" w:ascii="仿宋" w:hAnsi="仿宋" w:eastAsia="仿宋"/>
              <w:sz w:val="24"/>
            </w:rPr>
            <w:fldChar w:fldCharType="end"/>
          </w:r>
        </w:p>
        <w:p w14:paraId="434A11B2">
          <w:pPr>
            <w:pStyle w:val="74"/>
            <w:tabs>
              <w:tab w:val="right" w:leader="dot" w:pos="8296"/>
            </w:tabs>
            <w:ind w:left="440"/>
            <w:rPr>
              <w:rFonts w:hint="eastAsia" w:ascii="仿宋" w:hAnsi="仿宋" w:eastAsia="仿宋"/>
              <w:sz w:val="24"/>
            </w:rPr>
          </w:pPr>
          <w:r>
            <w:fldChar w:fldCharType="begin"/>
          </w:r>
          <w:r>
            <w:instrText xml:space="preserve"> HYPERLINK \l "_Toc182865229" </w:instrText>
          </w:r>
          <w:r>
            <w:fldChar w:fldCharType="separate"/>
          </w:r>
          <w:r>
            <w:rPr>
              <w:rStyle w:val="242"/>
              <w:rFonts w:hint="eastAsia" w:ascii="仿宋" w:hAnsi="仿宋" w:eastAsia="仿宋"/>
              <w:sz w:val="24"/>
            </w:rPr>
            <w:t>（五）主要成效</w:t>
          </w:r>
          <w:r>
            <w:rPr>
              <w:rFonts w:hint="eastAsia" w:ascii="仿宋" w:hAnsi="仿宋" w:eastAsia="仿宋"/>
              <w:sz w:val="24"/>
            </w:rPr>
            <w:tab/>
          </w:r>
          <w:r>
            <w:rPr>
              <w:rFonts w:hint="eastAsia" w:ascii="仿宋" w:hAnsi="仿宋" w:eastAsia="仿宋"/>
              <w:sz w:val="24"/>
            </w:rPr>
            <w:fldChar w:fldCharType="begin"/>
          </w:r>
          <w:r>
            <w:rPr>
              <w:rFonts w:hint="eastAsia" w:ascii="仿宋" w:hAnsi="仿宋" w:eastAsia="仿宋"/>
              <w:sz w:val="24"/>
            </w:rPr>
            <w:instrText xml:space="preserve"> </w:instrText>
          </w:r>
          <w:r>
            <w:rPr>
              <w:rFonts w:ascii="仿宋" w:hAnsi="仿宋" w:eastAsia="仿宋"/>
              <w:sz w:val="24"/>
            </w:rPr>
            <w:instrText xml:space="preserve">PAGEREF _Toc182865229 \h</w:instrText>
          </w:r>
          <w:r>
            <w:rPr>
              <w:rFonts w:hint="eastAsia" w:ascii="仿宋" w:hAnsi="仿宋" w:eastAsia="仿宋"/>
              <w:sz w:val="24"/>
            </w:rPr>
            <w:instrText xml:space="preserve"> </w:instrText>
          </w:r>
          <w:r>
            <w:rPr>
              <w:rFonts w:hint="eastAsia" w:ascii="仿宋" w:hAnsi="仿宋" w:eastAsia="仿宋"/>
              <w:sz w:val="24"/>
            </w:rPr>
            <w:fldChar w:fldCharType="separate"/>
          </w:r>
          <w:r>
            <w:rPr>
              <w:rFonts w:hint="eastAsia" w:ascii="仿宋" w:hAnsi="仿宋" w:eastAsia="仿宋"/>
              <w:sz w:val="24"/>
            </w:rPr>
            <w:t>28</w:t>
          </w:r>
          <w:r>
            <w:rPr>
              <w:rFonts w:hint="eastAsia" w:ascii="仿宋" w:hAnsi="仿宋" w:eastAsia="仿宋"/>
              <w:sz w:val="24"/>
            </w:rPr>
            <w:fldChar w:fldCharType="end"/>
          </w:r>
          <w:r>
            <w:rPr>
              <w:rFonts w:hint="eastAsia" w:ascii="仿宋" w:hAnsi="仿宋" w:eastAsia="仿宋"/>
              <w:sz w:val="24"/>
            </w:rPr>
            <w:fldChar w:fldCharType="end"/>
          </w:r>
        </w:p>
        <w:p w14:paraId="0B95AB1D">
          <w:pPr>
            <w:pStyle w:val="74"/>
            <w:tabs>
              <w:tab w:val="right" w:leader="dot" w:pos="8296"/>
            </w:tabs>
            <w:ind w:left="440"/>
            <w:rPr>
              <w:rFonts w:hint="eastAsia" w:ascii="仿宋" w:hAnsi="仿宋" w:eastAsia="仿宋"/>
              <w:sz w:val="24"/>
            </w:rPr>
          </w:pPr>
          <w:r>
            <w:fldChar w:fldCharType="begin"/>
          </w:r>
          <w:r>
            <w:instrText xml:space="preserve"> HYPERLINK \l "_Toc182865230" </w:instrText>
          </w:r>
          <w:r>
            <w:fldChar w:fldCharType="separate"/>
          </w:r>
          <w:r>
            <w:rPr>
              <w:rStyle w:val="242"/>
              <w:rFonts w:hint="eastAsia" w:ascii="仿宋" w:hAnsi="仿宋" w:eastAsia="仿宋"/>
              <w:sz w:val="24"/>
            </w:rPr>
            <w:t>（六）绩效评价结论</w:t>
          </w:r>
          <w:r>
            <w:rPr>
              <w:rFonts w:hint="eastAsia" w:ascii="仿宋" w:hAnsi="仿宋" w:eastAsia="仿宋"/>
              <w:sz w:val="24"/>
            </w:rPr>
            <w:tab/>
          </w:r>
          <w:r>
            <w:rPr>
              <w:rFonts w:hint="eastAsia" w:ascii="仿宋" w:hAnsi="仿宋" w:eastAsia="仿宋"/>
              <w:sz w:val="24"/>
            </w:rPr>
            <w:fldChar w:fldCharType="begin"/>
          </w:r>
          <w:r>
            <w:rPr>
              <w:rFonts w:hint="eastAsia" w:ascii="仿宋" w:hAnsi="仿宋" w:eastAsia="仿宋"/>
              <w:sz w:val="24"/>
            </w:rPr>
            <w:instrText xml:space="preserve"> </w:instrText>
          </w:r>
          <w:r>
            <w:rPr>
              <w:rFonts w:ascii="仿宋" w:hAnsi="仿宋" w:eastAsia="仿宋"/>
              <w:sz w:val="24"/>
            </w:rPr>
            <w:instrText xml:space="preserve">PAGEREF _Toc182865230 \h</w:instrText>
          </w:r>
          <w:r>
            <w:rPr>
              <w:rFonts w:hint="eastAsia" w:ascii="仿宋" w:hAnsi="仿宋" w:eastAsia="仿宋"/>
              <w:sz w:val="24"/>
            </w:rPr>
            <w:instrText xml:space="preserve"> </w:instrText>
          </w:r>
          <w:r>
            <w:rPr>
              <w:rFonts w:hint="eastAsia" w:ascii="仿宋" w:hAnsi="仿宋" w:eastAsia="仿宋"/>
              <w:sz w:val="24"/>
            </w:rPr>
            <w:fldChar w:fldCharType="separate"/>
          </w:r>
          <w:r>
            <w:rPr>
              <w:rFonts w:hint="eastAsia" w:ascii="仿宋" w:hAnsi="仿宋" w:eastAsia="仿宋"/>
              <w:sz w:val="24"/>
            </w:rPr>
            <w:t>28</w:t>
          </w:r>
          <w:r>
            <w:rPr>
              <w:rFonts w:hint="eastAsia" w:ascii="仿宋" w:hAnsi="仿宋" w:eastAsia="仿宋"/>
              <w:sz w:val="24"/>
            </w:rPr>
            <w:fldChar w:fldCharType="end"/>
          </w:r>
          <w:r>
            <w:rPr>
              <w:rFonts w:hint="eastAsia" w:ascii="仿宋" w:hAnsi="仿宋" w:eastAsia="仿宋"/>
              <w:sz w:val="24"/>
            </w:rPr>
            <w:fldChar w:fldCharType="end"/>
          </w:r>
        </w:p>
        <w:p w14:paraId="07D23C06">
          <w:pPr>
            <w:pStyle w:val="59"/>
            <w:tabs>
              <w:tab w:val="right" w:leader="dot" w:pos="8296"/>
            </w:tabs>
            <w:rPr>
              <w:rFonts w:hint="eastAsia" w:ascii="仿宋" w:hAnsi="仿宋" w:eastAsia="仿宋"/>
              <w:sz w:val="24"/>
            </w:rPr>
          </w:pPr>
          <w:r>
            <w:fldChar w:fldCharType="begin"/>
          </w:r>
          <w:r>
            <w:instrText xml:space="preserve"> HYPERLINK \l "_Toc182865231" </w:instrText>
          </w:r>
          <w:r>
            <w:fldChar w:fldCharType="separate"/>
          </w:r>
          <w:r>
            <w:rPr>
              <w:rStyle w:val="242"/>
              <w:rFonts w:hint="eastAsia" w:ascii="仿宋" w:hAnsi="仿宋" w:eastAsia="仿宋"/>
              <w:sz w:val="24"/>
            </w:rPr>
            <w:t>五、存在的问题</w:t>
          </w:r>
          <w:r>
            <w:rPr>
              <w:rFonts w:hint="eastAsia" w:ascii="仿宋" w:hAnsi="仿宋" w:eastAsia="仿宋"/>
              <w:sz w:val="24"/>
            </w:rPr>
            <w:tab/>
          </w:r>
          <w:r>
            <w:rPr>
              <w:rFonts w:hint="eastAsia" w:ascii="仿宋" w:hAnsi="仿宋" w:eastAsia="仿宋"/>
              <w:sz w:val="24"/>
            </w:rPr>
            <w:fldChar w:fldCharType="begin"/>
          </w:r>
          <w:r>
            <w:rPr>
              <w:rFonts w:hint="eastAsia" w:ascii="仿宋" w:hAnsi="仿宋" w:eastAsia="仿宋"/>
              <w:sz w:val="24"/>
            </w:rPr>
            <w:instrText xml:space="preserve"> </w:instrText>
          </w:r>
          <w:r>
            <w:rPr>
              <w:rFonts w:ascii="仿宋" w:hAnsi="仿宋" w:eastAsia="仿宋"/>
              <w:sz w:val="24"/>
            </w:rPr>
            <w:instrText xml:space="preserve">PAGEREF _Toc182865231 \h</w:instrText>
          </w:r>
          <w:r>
            <w:rPr>
              <w:rFonts w:hint="eastAsia" w:ascii="仿宋" w:hAnsi="仿宋" w:eastAsia="仿宋"/>
              <w:sz w:val="24"/>
            </w:rPr>
            <w:instrText xml:space="preserve"> </w:instrText>
          </w:r>
          <w:r>
            <w:rPr>
              <w:rFonts w:hint="eastAsia" w:ascii="仿宋" w:hAnsi="仿宋" w:eastAsia="仿宋"/>
              <w:sz w:val="24"/>
            </w:rPr>
            <w:fldChar w:fldCharType="separate"/>
          </w:r>
          <w:r>
            <w:rPr>
              <w:rFonts w:hint="eastAsia" w:ascii="仿宋" w:hAnsi="仿宋" w:eastAsia="仿宋"/>
              <w:sz w:val="24"/>
            </w:rPr>
            <w:t>29</w:t>
          </w:r>
          <w:r>
            <w:rPr>
              <w:rFonts w:hint="eastAsia" w:ascii="仿宋" w:hAnsi="仿宋" w:eastAsia="仿宋"/>
              <w:sz w:val="24"/>
            </w:rPr>
            <w:fldChar w:fldCharType="end"/>
          </w:r>
          <w:r>
            <w:rPr>
              <w:rFonts w:hint="eastAsia" w:ascii="仿宋" w:hAnsi="仿宋" w:eastAsia="仿宋"/>
              <w:sz w:val="24"/>
            </w:rPr>
            <w:fldChar w:fldCharType="end"/>
          </w:r>
        </w:p>
        <w:p w14:paraId="27556668">
          <w:pPr>
            <w:pStyle w:val="74"/>
            <w:tabs>
              <w:tab w:val="right" w:leader="dot" w:pos="8296"/>
            </w:tabs>
            <w:ind w:left="440"/>
            <w:rPr>
              <w:rFonts w:hint="eastAsia" w:ascii="仿宋" w:hAnsi="仿宋" w:eastAsia="仿宋"/>
              <w:sz w:val="24"/>
            </w:rPr>
          </w:pPr>
          <w:r>
            <w:fldChar w:fldCharType="begin"/>
          </w:r>
          <w:r>
            <w:instrText xml:space="preserve"> HYPERLINK \l "_Toc182865232" </w:instrText>
          </w:r>
          <w:r>
            <w:fldChar w:fldCharType="separate"/>
          </w:r>
          <w:r>
            <w:rPr>
              <w:rStyle w:val="242"/>
              <w:rFonts w:hint="eastAsia" w:ascii="仿宋" w:hAnsi="仿宋" w:eastAsia="仿宋"/>
              <w:sz w:val="24"/>
            </w:rPr>
            <w:t>（一）绩效目标不合理，自评工作不到位</w:t>
          </w:r>
          <w:r>
            <w:rPr>
              <w:rFonts w:hint="eastAsia" w:ascii="仿宋" w:hAnsi="仿宋" w:eastAsia="仿宋"/>
              <w:sz w:val="24"/>
            </w:rPr>
            <w:tab/>
          </w:r>
          <w:r>
            <w:rPr>
              <w:rFonts w:hint="eastAsia" w:ascii="仿宋" w:hAnsi="仿宋" w:eastAsia="仿宋"/>
              <w:sz w:val="24"/>
            </w:rPr>
            <w:fldChar w:fldCharType="begin"/>
          </w:r>
          <w:r>
            <w:rPr>
              <w:rFonts w:hint="eastAsia" w:ascii="仿宋" w:hAnsi="仿宋" w:eastAsia="仿宋"/>
              <w:sz w:val="24"/>
            </w:rPr>
            <w:instrText xml:space="preserve"> </w:instrText>
          </w:r>
          <w:r>
            <w:rPr>
              <w:rFonts w:ascii="仿宋" w:hAnsi="仿宋" w:eastAsia="仿宋"/>
              <w:sz w:val="24"/>
            </w:rPr>
            <w:instrText xml:space="preserve">PAGEREF _Toc182865232 \h</w:instrText>
          </w:r>
          <w:r>
            <w:rPr>
              <w:rFonts w:hint="eastAsia" w:ascii="仿宋" w:hAnsi="仿宋" w:eastAsia="仿宋"/>
              <w:sz w:val="24"/>
            </w:rPr>
            <w:instrText xml:space="preserve"> </w:instrText>
          </w:r>
          <w:r>
            <w:rPr>
              <w:rFonts w:hint="eastAsia" w:ascii="仿宋" w:hAnsi="仿宋" w:eastAsia="仿宋"/>
              <w:sz w:val="24"/>
            </w:rPr>
            <w:fldChar w:fldCharType="separate"/>
          </w:r>
          <w:r>
            <w:rPr>
              <w:rFonts w:hint="eastAsia" w:ascii="仿宋" w:hAnsi="仿宋" w:eastAsia="仿宋"/>
              <w:sz w:val="24"/>
            </w:rPr>
            <w:t>29</w:t>
          </w:r>
          <w:r>
            <w:rPr>
              <w:rFonts w:hint="eastAsia" w:ascii="仿宋" w:hAnsi="仿宋" w:eastAsia="仿宋"/>
              <w:sz w:val="24"/>
            </w:rPr>
            <w:fldChar w:fldCharType="end"/>
          </w:r>
          <w:r>
            <w:rPr>
              <w:rFonts w:hint="eastAsia" w:ascii="仿宋" w:hAnsi="仿宋" w:eastAsia="仿宋"/>
              <w:sz w:val="24"/>
            </w:rPr>
            <w:fldChar w:fldCharType="end"/>
          </w:r>
        </w:p>
        <w:p w14:paraId="12466E6A">
          <w:pPr>
            <w:pStyle w:val="74"/>
            <w:tabs>
              <w:tab w:val="right" w:leader="dot" w:pos="8296"/>
            </w:tabs>
            <w:ind w:left="440"/>
            <w:rPr>
              <w:rFonts w:hint="eastAsia" w:ascii="仿宋" w:hAnsi="仿宋" w:eastAsia="仿宋"/>
              <w:sz w:val="24"/>
            </w:rPr>
          </w:pPr>
          <w:r>
            <w:fldChar w:fldCharType="begin"/>
          </w:r>
          <w:r>
            <w:instrText xml:space="preserve"> HYPERLINK \l "_Toc182865233" </w:instrText>
          </w:r>
          <w:r>
            <w:fldChar w:fldCharType="separate"/>
          </w:r>
          <w:r>
            <w:rPr>
              <w:rStyle w:val="242"/>
              <w:rFonts w:hint="eastAsia" w:ascii="仿宋" w:hAnsi="仿宋" w:eastAsia="仿宋"/>
              <w:sz w:val="24"/>
            </w:rPr>
            <w:t>（二）合同签订不规范，合同履约不规范</w:t>
          </w:r>
          <w:r>
            <w:rPr>
              <w:rFonts w:hint="eastAsia" w:ascii="仿宋" w:hAnsi="仿宋" w:eastAsia="仿宋"/>
              <w:sz w:val="24"/>
            </w:rPr>
            <w:tab/>
          </w:r>
          <w:r>
            <w:rPr>
              <w:rFonts w:hint="eastAsia" w:ascii="仿宋" w:hAnsi="仿宋" w:eastAsia="仿宋"/>
              <w:sz w:val="24"/>
            </w:rPr>
            <w:fldChar w:fldCharType="begin"/>
          </w:r>
          <w:r>
            <w:rPr>
              <w:rFonts w:hint="eastAsia" w:ascii="仿宋" w:hAnsi="仿宋" w:eastAsia="仿宋"/>
              <w:sz w:val="24"/>
            </w:rPr>
            <w:instrText xml:space="preserve"> </w:instrText>
          </w:r>
          <w:r>
            <w:rPr>
              <w:rFonts w:ascii="仿宋" w:hAnsi="仿宋" w:eastAsia="仿宋"/>
              <w:sz w:val="24"/>
            </w:rPr>
            <w:instrText xml:space="preserve">PAGEREF _Toc182865233 \h</w:instrText>
          </w:r>
          <w:r>
            <w:rPr>
              <w:rFonts w:hint="eastAsia" w:ascii="仿宋" w:hAnsi="仿宋" w:eastAsia="仿宋"/>
              <w:sz w:val="24"/>
            </w:rPr>
            <w:instrText xml:space="preserve"> </w:instrText>
          </w:r>
          <w:r>
            <w:rPr>
              <w:rFonts w:hint="eastAsia" w:ascii="仿宋" w:hAnsi="仿宋" w:eastAsia="仿宋"/>
              <w:sz w:val="24"/>
            </w:rPr>
            <w:fldChar w:fldCharType="separate"/>
          </w:r>
          <w:r>
            <w:rPr>
              <w:rFonts w:hint="eastAsia" w:ascii="仿宋" w:hAnsi="仿宋" w:eastAsia="仿宋"/>
              <w:sz w:val="24"/>
            </w:rPr>
            <w:t>30</w:t>
          </w:r>
          <w:r>
            <w:rPr>
              <w:rFonts w:hint="eastAsia" w:ascii="仿宋" w:hAnsi="仿宋" w:eastAsia="仿宋"/>
              <w:sz w:val="24"/>
            </w:rPr>
            <w:fldChar w:fldCharType="end"/>
          </w:r>
          <w:r>
            <w:rPr>
              <w:rFonts w:hint="eastAsia" w:ascii="仿宋" w:hAnsi="仿宋" w:eastAsia="仿宋"/>
              <w:sz w:val="24"/>
            </w:rPr>
            <w:fldChar w:fldCharType="end"/>
          </w:r>
        </w:p>
        <w:p w14:paraId="330688B0">
          <w:pPr>
            <w:pStyle w:val="74"/>
            <w:tabs>
              <w:tab w:val="right" w:leader="dot" w:pos="8296"/>
            </w:tabs>
            <w:ind w:left="440"/>
            <w:rPr>
              <w:rFonts w:hint="eastAsia" w:ascii="仿宋" w:hAnsi="仿宋" w:eastAsia="仿宋"/>
              <w:sz w:val="24"/>
            </w:rPr>
          </w:pPr>
          <w:r>
            <w:fldChar w:fldCharType="begin"/>
          </w:r>
          <w:r>
            <w:instrText xml:space="preserve"> HYPERLINK \l "_Toc182865234" </w:instrText>
          </w:r>
          <w:r>
            <w:fldChar w:fldCharType="separate"/>
          </w:r>
          <w:r>
            <w:rPr>
              <w:rStyle w:val="242"/>
              <w:rFonts w:hint="eastAsia" w:ascii="仿宋" w:hAnsi="仿宋" w:eastAsia="仿宋"/>
              <w:sz w:val="24"/>
            </w:rPr>
            <w:t>（三）项目验收存在不规范</w:t>
          </w:r>
          <w:r>
            <w:rPr>
              <w:rFonts w:hint="eastAsia" w:ascii="仿宋" w:hAnsi="仿宋" w:eastAsia="仿宋"/>
              <w:sz w:val="24"/>
            </w:rPr>
            <w:tab/>
          </w:r>
          <w:r>
            <w:rPr>
              <w:rFonts w:hint="eastAsia" w:ascii="仿宋" w:hAnsi="仿宋" w:eastAsia="仿宋"/>
              <w:sz w:val="24"/>
            </w:rPr>
            <w:fldChar w:fldCharType="begin"/>
          </w:r>
          <w:r>
            <w:rPr>
              <w:rFonts w:hint="eastAsia" w:ascii="仿宋" w:hAnsi="仿宋" w:eastAsia="仿宋"/>
              <w:sz w:val="24"/>
            </w:rPr>
            <w:instrText xml:space="preserve"> </w:instrText>
          </w:r>
          <w:r>
            <w:rPr>
              <w:rFonts w:ascii="仿宋" w:hAnsi="仿宋" w:eastAsia="仿宋"/>
              <w:sz w:val="24"/>
            </w:rPr>
            <w:instrText xml:space="preserve">PAGEREF _Toc182865234 \h</w:instrText>
          </w:r>
          <w:r>
            <w:rPr>
              <w:rFonts w:hint="eastAsia" w:ascii="仿宋" w:hAnsi="仿宋" w:eastAsia="仿宋"/>
              <w:sz w:val="24"/>
            </w:rPr>
            <w:instrText xml:space="preserve"> </w:instrText>
          </w:r>
          <w:r>
            <w:rPr>
              <w:rFonts w:hint="eastAsia" w:ascii="仿宋" w:hAnsi="仿宋" w:eastAsia="仿宋"/>
              <w:sz w:val="24"/>
            </w:rPr>
            <w:fldChar w:fldCharType="separate"/>
          </w:r>
          <w:r>
            <w:rPr>
              <w:rFonts w:hint="eastAsia" w:ascii="仿宋" w:hAnsi="仿宋" w:eastAsia="仿宋"/>
              <w:sz w:val="24"/>
            </w:rPr>
            <w:t>32</w:t>
          </w:r>
          <w:r>
            <w:rPr>
              <w:rFonts w:hint="eastAsia" w:ascii="仿宋" w:hAnsi="仿宋" w:eastAsia="仿宋"/>
              <w:sz w:val="24"/>
            </w:rPr>
            <w:fldChar w:fldCharType="end"/>
          </w:r>
          <w:r>
            <w:rPr>
              <w:rFonts w:hint="eastAsia" w:ascii="仿宋" w:hAnsi="仿宋" w:eastAsia="仿宋"/>
              <w:sz w:val="24"/>
            </w:rPr>
            <w:fldChar w:fldCharType="end"/>
          </w:r>
        </w:p>
        <w:p w14:paraId="1CB699E9">
          <w:pPr>
            <w:pStyle w:val="59"/>
            <w:tabs>
              <w:tab w:val="right" w:leader="dot" w:pos="8296"/>
            </w:tabs>
            <w:rPr>
              <w:rFonts w:hint="eastAsia" w:ascii="仿宋" w:hAnsi="仿宋" w:eastAsia="仿宋"/>
              <w:sz w:val="24"/>
            </w:rPr>
          </w:pPr>
          <w:r>
            <w:fldChar w:fldCharType="begin"/>
          </w:r>
          <w:r>
            <w:instrText xml:space="preserve"> HYPERLINK \l "_Toc182865235" </w:instrText>
          </w:r>
          <w:r>
            <w:fldChar w:fldCharType="separate"/>
          </w:r>
          <w:r>
            <w:rPr>
              <w:rStyle w:val="242"/>
              <w:rFonts w:hint="eastAsia" w:ascii="仿宋" w:hAnsi="仿宋" w:eastAsia="仿宋"/>
              <w:sz w:val="24"/>
            </w:rPr>
            <w:t>六、有关建议</w:t>
          </w:r>
          <w:r>
            <w:rPr>
              <w:rFonts w:hint="eastAsia" w:ascii="仿宋" w:hAnsi="仿宋" w:eastAsia="仿宋"/>
              <w:sz w:val="24"/>
            </w:rPr>
            <w:tab/>
          </w:r>
          <w:r>
            <w:rPr>
              <w:rFonts w:hint="eastAsia" w:ascii="仿宋" w:hAnsi="仿宋" w:eastAsia="仿宋"/>
              <w:sz w:val="24"/>
            </w:rPr>
            <w:fldChar w:fldCharType="begin"/>
          </w:r>
          <w:r>
            <w:rPr>
              <w:rFonts w:hint="eastAsia" w:ascii="仿宋" w:hAnsi="仿宋" w:eastAsia="仿宋"/>
              <w:sz w:val="24"/>
            </w:rPr>
            <w:instrText xml:space="preserve"> </w:instrText>
          </w:r>
          <w:r>
            <w:rPr>
              <w:rFonts w:ascii="仿宋" w:hAnsi="仿宋" w:eastAsia="仿宋"/>
              <w:sz w:val="24"/>
            </w:rPr>
            <w:instrText xml:space="preserve">PAGEREF _Toc182865235 \h</w:instrText>
          </w:r>
          <w:r>
            <w:rPr>
              <w:rFonts w:hint="eastAsia" w:ascii="仿宋" w:hAnsi="仿宋" w:eastAsia="仿宋"/>
              <w:sz w:val="24"/>
            </w:rPr>
            <w:instrText xml:space="preserve"> </w:instrText>
          </w:r>
          <w:r>
            <w:rPr>
              <w:rFonts w:hint="eastAsia" w:ascii="仿宋" w:hAnsi="仿宋" w:eastAsia="仿宋"/>
              <w:sz w:val="24"/>
            </w:rPr>
            <w:fldChar w:fldCharType="separate"/>
          </w:r>
          <w:r>
            <w:rPr>
              <w:rFonts w:hint="eastAsia" w:ascii="仿宋" w:hAnsi="仿宋" w:eastAsia="仿宋"/>
              <w:sz w:val="24"/>
            </w:rPr>
            <w:t>33</w:t>
          </w:r>
          <w:r>
            <w:rPr>
              <w:rFonts w:hint="eastAsia" w:ascii="仿宋" w:hAnsi="仿宋" w:eastAsia="仿宋"/>
              <w:sz w:val="24"/>
            </w:rPr>
            <w:fldChar w:fldCharType="end"/>
          </w:r>
          <w:r>
            <w:rPr>
              <w:rFonts w:hint="eastAsia" w:ascii="仿宋" w:hAnsi="仿宋" w:eastAsia="仿宋"/>
              <w:sz w:val="24"/>
            </w:rPr>
            <w:fldChar w:fldCharType="end"/>
          </w:r>
        </w:p>
        <w:p w14:paraId="243B4E8C">
          <w:pPr>
            <w:pStyle w:val="74"/>
            <w:tabs>
              <w:tab w:val="right" w:leader="dot" w:pos="8296"/>
            </w:tabs>
            <w:ind w:left="440"/>
            <w:rPr>
              <w:rFonts w:hint="eastAsia" w:ascii="仿宋" w:hAnsi="仿宋" w:eastAsia="仿宋"/>
              <w:sz w:val="24"/>
            </w:rPr>
          </w:pPr>
          <w:r>
            <w:fldChar w:fldCharType="begin"/>
          </w:r>
          <w:r>
            <w:instrText xml:space="preserve"> HYPERLINK \l "_Toc182865236" </w:instrText>
          </w:r>
          <w:r>
            <w:fldChar w:fldCharType="separate"/>
          </w:r>
          <w:r>
            <w:rPr>
              <w:rStyle w:val="242"/>
              <w:rFonts w:hint="eastAsia" w:ascii="仿宋" w:hAnsi="仿宋" w:eastAsia="仿宋"/>
              <w:sz w:val="24"/>
            </w:rPr>
            <w:t>（一）加强绩效管理，重视绩效自评工作</w:t>
          </w:r>
          <w:r>
            <w:rPr>
              <w:rFonts w:hint="eastAsia" w:ascii="仿宋" w:hAnsi="仿宋" w:eastAsia="仿宋"/>
              <w:sz w:val="24"/>
            </w:rPr>
            <w:tab/>
          </w:r>
          <w:r>
            <w:rPr>
              <w:rFonts w:hint="eastAsia" w:ascii="仿宋" w:hAnsi="仿宋" w:eastAsia="仿宋"/>
              <w:sz w:val="24"/>
            </w:rPr>
            <w:fldChar w:fldCharType="begin"/>
          </w:r>
          <w:r>
            <w:rPr>
              <w:rFonts w:hint="eastAsia" w:ascii="仿宋" w:hAnsi="仿宋" w:eastAsia="仿宋"/>
              <w:sz w:val="24"/>
            </w:rPr>
            <w:instrText xml:space="preserve"> </w:instrText>
          </w:r>
          <w:r>
            <w:rPr>
              <w:rFonts w:ascii="仿宋" w:hAnsi="仿宋" w:eastAsia="仿宋"/>
              <w:sz w:val="24"/>
            </w:rPr>
            <w:instrText xml:space="preserve">PAGEREF _Toc182865236 \h</w:instrText>
          </w:r>
          <w:r>
            <w:rPr>
              <w:rFonts w:hint="eastAsia" w:ascii="仿宋" w:hAnsi="仿宋" w:eastAsia="仿宋"/>
              <w:sz w:val="24"/>
            </w:rPr>
            <w:instrText xml:space="preserve"> </w:instrText>
          </w:r>
          <w:r>
            <w:rPr>
              <w:rFonts w:hint="eastAsia" w:ascii="仿宋" w:hAnsi="仿宋" w:eastAsia="仿宋"/>
              <w:sz w:val="24"/>
            </w:rPr>
            <w:fldChar w:fldCharType="separate"/>
          </w:r>
          <w:r>
            <w:rPr>
              <w:rFonts w:hint="eastAsia" w:ascii="仿宋" w:hAnsi="仿宋" w:eastAsia="仿宋"/>
              <w:sz w:val="24"/>
            </w:rPr>
            <w:t>33</w:t>
          </w:r>
          <w:r>
            <w:rPr>
              <w:rFonts w:hint="eastAsia" w:ascii="仿宋" w:hAnsi="仿宋" w:eastAsia="仿宋"/>
              <w:sz w:val="24"/>
            </w:rPr>
            <w:fldChar w:fldCharType="end"/>
          </w:r>
          <w:r>
            <w:rPr>
              <w:rFonts w:hint="eastAsia" w:ascii="仿宋" w:hAnsi="仿宋" w:eastAsia="仿宋"/>
              <w:sz w:val="24"/>
            </w:rPr>
            <w:fldChar w:fldCharType="end"/>
          </w:r>
        </w:p>
        <w:p w14:paraId="12410E9A">
          <w:pPr>
            <w:pStyle w:val="74"/>
            <w:tabs>
              <w:tab w:val="right" w:leader="dot" w:pos="8296"/>
            </w:tabs>
            <w:ind w:left="440"/>
            <w:rPr>
              <w:rFonts w:hint="eastAsia" w:ascii="仿宋" w:hAnsi="仿宋" w:eastAsia="仿宋"/>
              <w:sz w:val="24"/>
            </w:rPr>
          </w:pPr>
          <w:r>
            <w:fldChar w:fldCharType="begin"/>
          </w:r>
          <w:r>
            <w:instrText xml:space="preserve"> HYPERLINK \l "_Toc182865237" </w:instrText>
          </w:r>
          <w:r>
            <w:fldChar w:fldCharType="separate"/>
          </w:r>
          <w:r>
            <w:rPr>
              <w:rStyle w:val="242"/>
              <w:rFonts w:hint="eastAsia" w:ascii="仿宋" w:hAnsi="仿宋" w:eastAsia="仿宋"/>
              <w:sz w:val="24"/>
            </w:rPr>
            <w:t>（二）强化合同签订及履约管理，严格按照合同约定执行</w:t>
          </w:r>
          <w:r>
            <w:rPr>
              <w:rFonts w:hint="eastAsia" w:ascii="仿宋" w:hAnsi="仿宋" w:eastAsia="仿宋"/>
              <w:sz w:val="24"/>
            </w:rPr>
            <w:tab/>
          </w:r>
          <w:r>
            <w:rPr>
              <w:rFonts w:hint="eastAsia" w:ascii="仿宋" w:hAnsi="仿宋" w:eastAsia="仿宋"/>
              <w:sz w:val="24"/>
            </w:rPr>
            <w:fldChar w:fldCharType="begin"/>
          </w:r>
          <w:r>
            <w:rPr>
              <w:rFonts w:hint="eastAsia" w:ascii="仿宋" w:hAnsi="仿宋" w:eastAsia="仿宋"/>
              <w:sz w:val="24"/>
            </w:rPr>
            <w:instrText xml:space="preserve"> </w:instrText>
          </w:r>
          <w:r>
            <w:rPr>
              <w:rFonts w:ascii="仿宋" w:hAnsi="仿宋" w:eastAsia="仿宋"/>
              <w:sz w:val="24"/>
            </w:rPr>
            <w:instrText xml:space="preserve">PAGEREF _Toc182865237 \h</w:instrText>
          </w:r>
          <w:r>
            <w:rPr>
              <w:rFonts w:hint="eastAsia" w:ascii="仿宋" w:hAnsi="仿宋" w:eastAsia="仿宋"/>
              <w:sz w:val="24"/>
            </w:rPr>
            <w:instrText xml:space="preserve"> </w:instrText>
          </w:r>
          <w:r>
            <w:rPr>
              <w:rFonts w:hint="eastAsia" w:ascii="仿宋" w:hAnsi="仿宋" w:eastAsia="仿宋"/>
              <w:sz w:val="24"/>
            </w:rPr>
            <w:fldChar w:fldCharType="separate"/>
          </w:r>
          <w:r>
            <w:rPr>
              <w:rFonts w:hint="eastAsia" w:ascii="仿宋" w:hAnsi="仿宋" w:eastAsia="仿宋"/>
              <w:sz w:val="24"/>
            </w:rPr>
            <w:t>33</w:t>
          </w:r>
          <w:r>
            <w:rPr>
              <w:rFonts w:hint="eastAsia" w:ascii="仿宋" w:hAnsi="仿宋" w:eastAsia="仿宋"/>
              <w:sz w:val="24"/>
            </w:rPr>
            <w:fldChar w:fldCharType="end"/>
          </w:r>
          <w:r>
            <w:rPr>
              <w:rFonts w:hint="eastAsia" w:ascii="仿宋" w:hAnsi="仿宋" w:eastAsia="仿宋"/>
              <w:sz w:val="24"/>
            </w:rPr>
            <w:fldChar w:fldCharType="end"/>
          </w:r>
        </w:p>
        <w:p w14:paraId="64D9F732">
          <w:pPr>
            <w:pStyle w:val="74"/>
            <w:tabs>
              <w:tab w:val="right" w:leader="dot" w:pos="8296"/>
            </w:tabs>
            <w:ind w:left="440"/>
            <w:rPr>
              <w:rFonts w:hint="eastAsia" w:ascii="仿宋" w:hAnsi="仿宋" w:eastAsia="仿宋"/>
              <w:sz w:val="24"/>
            </w:rPr>
          </w:pPr>
          <w:r>
            <w:fldChar w:fldCharType="begin"/>
          </w:r>
          <w:r>
            <w:instrText xml:space="preserve"> HYPERLINK \l "_Toc182865238" </w:instrText>
          </w:r>
          <w:r>
            <w:fldChar w:fldCharType="separate"/>
          </w:r>
          <w:r>
            <w:rPr>
              <w:rStyle w:val="242"/>
              <w:rFonts w:hint="eastAsia" w:ascii="仿宋" w:hAnsi="仿宋" w:eastAsia="仿宋"/>
              <w:sz w:val="24"/>
            </w:rPr>
            <w:t>（三）加强项目验收的规范性</w:t>
          </w:r>
          <w:r>
            <w:rPr>
              <w:rFonts w:hint="eastAsia" w:ascii="仿宋" w:hAnsi="仿宋" w:eastAsia="仿宋"/>
              <w:sz w:val="24"/>
            </w:rPr>
            <w:tab/>
          </w:r>
          <w:r>
            <w:rPr>
              <w:rFonts w:hint="eastAsia" w:ascii="仿宋" w:hAnsi="仿宋" w:eastAsia="仿宋"/>
              <w:sz w:val="24"/>
            </w:rPr>
            <w:fldChar w:fldCharType="begin"/>
          </w:r>
          <w:r>
            <w:rPr>
              <w:rFonts w:hint="eastAsia" w:ascii="仿宋" w:hAnsi="仿宋" w:eastAsia="仿宋"/>
              <w:sz w:val="24"/>
            </w:rPr>
            <w:instrText xml:space="preserve"> </w:instrText>
          </w:r>
          <w:r>
            <w:rPr>
              <w:rFonts w:ascii="仿宋" w:hAnsi="仿宋" w:eastAsia="仿宋"/>
              <w:sz w:val="24"/>
            </w:rPr>
            <w:instrText xml:space="preserve">PAGEREF _Toc182865238 \h</w:instrText>
          </w:r>
          <w:r>
            <w:rPr>
              <w:rFonts w:hint="eastAsia" w:ascii="仿宋" w:hAnsi="仿宋" w:eastAsia="仿宋"/>
              <w:sz w:val="24"/>
            </w:rPr>
            <w:instrText xml:space="preserve"> </w:instrText>
          </w:r>
          <w:r>
            <w:rPr>
              <w:rFonts w:hint="eastAsia" w:ascii="仿宋" w:hAnsi="仿宋" w:eastAsia="仿宋"/>
              <w:sz w:val="24"/>
            </w:rPr>
            <w:fldChar w:fldCharType="separate"/>
          </w:r>
          <w:r>
            <w:rPr>
              <w:rFonts w:hint="eastAsia" w:ascii="仿宋" w:hAnsi="仿宋" w:eastAsia="仿宋"/>
              <w:sz w:val="24"/>
            </w:rPr>
            <w:t>34</w:t>
          </w:r>
          <w:r>
            <w:rPr>
              <w:rFonts w:hint="eastAsia" w:ascii="仿宋" w:hAnsi="仿宋" w:eastAsia="仿宋"/>
              <w:sz w:val="24"/>
            </w:rPr>
            <w:fldChar w:fldCharType="end"/>
          </w:r>
          <w:r>
            <w:rPr>
              <w:rFonts w:hint="eastAsia" w:ascii="仿宋" w:hAnsi="仿宋" w:eastAsia="仿宋"/>
              <w:sz w:val="24"/>
            </w:rPr>
            <w:fldChar w:fldCharType="end"/>
          </w:r>
        </w:p>
        <w:p w14:paraId="18ED1D6C">
          <w:pPr>
            <w:pStyle w:val="59"/>
            <w:tabs>
              <w:tab w:val="right" w:leader="dot" w:pos="8296"/>
            </w:tabs>
            <w:rPr>
              <w:rFonts w:hint="eastAsia" w:ascii="仿宋" w:hAnsi="仿宋" w:eastAsia="仿宋"/>
              <w:sz w:val="24"/>
            </w:rPr>
          </w:pPr>
          <w:r>
            <w:fldChar w:fldCharType="begin"/>
          </w:r>
          <w:r>
            <w:instrText xml:space="preserve"> HYPERLINK \l "_Toc182865239" </w:instrText>
          </w:r>
          <w:r>
            <w:fldChar w:fldCharType="separate"/>
          </w:r>
          <w:r>
            <w:rPr>
              <w:rStyle w:val="242"/>
              <w:rFonts w:hint="eastAsia" w:ascii="仿宋" w:hAnsi="仿宋" w:eastAsia="仿宋"/>
              <w:sz w:val="24"/>
            </w:rPr>
            <w:t>七、其他需要说明的问题</w:t>
          </w:r>
          <w:r>
            <w:rPr>
              <w:rFonts w:hint="eastAsia" w:ascii="仿宋" w:hAnsi="仿宋" w:eastAsia="仿宋"/>
              <w:sz w:val="24"/>
            </w:rPr>
            <w:tab/>
          </w:r>
          <w:r>
            <w:rPr>
              <w:rFonts w:hint="eastAsia" w:ascii="仿宋" w:hAnsi="仿宋" w:eastAsia="仿宋"/>
              <w:sz w:val="24"/>
            </w:rPr>
            <w:fldChar w:fldCharType="begin"/>
          </w:r>
          <w:r>
            <w:rPr>
              <w:rFonts w:hint="eastAsia" w:ascii="仿宋" w:hAnsi="仿宋" w:eastAsia="仿宋"/>
              <w:sz w:val="24"/>
            </w:rPr>
            <w:instrText xml:space="preserve"> </w:instrText>
          </w:r>
          <w:r>
            <w:rPr>
              <w:rFonts w:ascii="仿宋" w:hAnsi="仿宋" w:eastAsia="仿宋"/>
              <w:sz w:val="24"/>
            </w:rPr>
            <w:instrText xml:space="preserve">PAGEREF _Toc182865239 \h</w:instrText>
          </w:r>
          <w:r>
            <w:rPr>
              <w:rFonts w:hint="eastAsia" w:ascii="仿宋" w:hAnsi="仿宋" w:eastAsia="仿宋"/>
              <w:sz w:val="24"/>
            </w:rPr>
            <w:instrText xml:space="preserve"> </w:instrText>
          </w:r>
          <w:r>
            <w:rPr>
              <w:rFonts w:hint="eastAsia" w:ascii="仿宋" w:hAnsi="仿宋" w:eastAsia="仿宋"/>
              <w:sz w:val="24"/>
            </w:rPr>
            <w:fldChar w:fldCharType="separate"/>
          </w:r>
          <w:r>
            <w:rPr>
              <w:rFonts w:hint="eastAsia" w:ascii="仿宋" w:hAnsi="仿宋" w:eastAsia="仿宋"/>
              <w:sz w:val="24"/>
            </w:rPr>
            <w:t>34</w:t>
          </w:r>
          <w:r>
            <w:rPr>
              <w:rFonts w:hint="eastAsia" w:ascii="仿宋" w:hAnsi="仿宋" w:eastAsia="仿宋"/>
              <w:sz w:val="24"/>
            </w:rPr>
            <w:fldChar w:fldCharType="end"/>
          </w:r>
          <w:r>
            <w:rPr>
              <w:rFonts w:hint="eastAsia" w:ascii="仿宋" w:hAnsi="仿宋" w:eastAsia="仿宋"/>
              <w:sz w:val="24"/>
            </w:rPr>
            <w:fldChar w:fldCharType="end"/>
          </w:r>
        </w:p>
        <w:p w14:paraId="5B8E6D0F">
          <w:pPr>
            <w:pStyle w:val="59"/>
            <w:tabs>
              <w:tab w:val="right" w:leader="dot" w:pos="8296"/>
            </w:tabs>
            <w:rPr>
              <w:rFonts w:hint="eastAsia" w:ascii="仿宋" w:hAnsi="仿宋" w:eastAsia="仿宋"/>
              <w:sz w:val="24"/>
            </w:rPr>
          </w:pPr>
          <w:r>
            <w:fldChar w:fldCharType="begin"/>
          </w:r>
          <w:r>
            <w:instrText xml:space="preserve"> HYPERLINK \l "_Toc182865240" </w:instrText>
          </w:r>
          <w:r>
            <w:fldChar w:fldCharType="separate"/>
          </w:r>
          <w:r>
            <w:rPr>
              <w:rStyle w:val="242"/>
              <w:rFonts w:hint="eastAsia" w:ascii="仿宋" w:hAnsi="仿宋" w:eastAsia="仿宋"/>
              <w:sz w:val="24"/>
            </w:rPr>
            <w:t>附件一：调查问卷</w:t>
          </w:r>
          <w:r>
            <w:rPr>
              <w:rFonts w:hint="eastAsia" w:ascii="仿宋" w:hAnsi="仿宋" w:eastAsia="仿宋"/>
              <w:sz w:val="24"/>
            </w:rPr>
            <w:tab/>
          </w:r>
          <w:r>
            <w:rPr>
              <w:rFonts w:hint="eastAsia" w:ascii="仿宋" w:hAnsi="仿宋" w:eastAsia="仿宋"/>
              <w:sz w:val="24"/>
            </w:rPr>
            <w:fldChar w:fldCharType="begin"/>
          </w:r>
          <w:r>
            <w:rPr>
              <w:rFonts w:hint="eastAsia" w:ascii="仿宋" w:hAnsi="仿宋" w:eastAsia="仿宋"/>
              <w:sz w:val="24"/>
            </w:rPr>
            <w:instrText xml:space="preserve"> </w:instrText>
          </w:r>
          <w:r>
            <w:rPr>
              <w:rFonts w:ascii="仿宋" w:hAnsi="仿宋" w:eastAsia="仿宋"/>
              <w:sz w:val="24"/>
            </w:rPr>
            <w:instrText xml:space="preserve">PAGEREF _Toc182865240 \h</w:instrText>
          </w:r>
          <w:r>
            <w:rPr>
              <w:rFonts w:hint="eastAsia" w:ascii="仿宋" w:hAnsi="仿宋" w:eastAsia="仿宋"/>
              <w:sz w:val="24"/>
            </w:rPr>
            <w:instrText xml:space="preserve"> </w:instrText>
          </w:r>
          <w:r>
            <w:rPr>
              <w:rFonts w:hint="eastAsia" w:ascii="仿宋" w:hAnsi="仿宋" w:eastAsia="仿宋"/>
              <w:sz w:val="24"/>
            </w:rPr>
            <w:fldChar w:fldCharType="separate"/>
          </w:r>
          <w:r>
            <w:rPr>
              <w:rFonts w:hint="eastAsia" w:ascii="仿宋" w:hAnsi="仿宋" w:eastAsia="仿宋"/>
              <w:sz w:val="24"/>
            </w:rPr>
            <w:t>35</w:t>
          </w:r>
          <w:r>
            <w:rPr>
              <w:rFonts w:hint="eastAsia" w:ascii="仿宋" w:hAnsi="仿宋" w:eastAsia="仿宋"/>
              <w:sz w:val="24"/>
            </w:rPr>
            <w:fldChar w:fldCharType="end"/>
          </w:r>
          <w:r>
            <w:rPr>
              <w:rFonts w:hint="eastAsia" w:ascii="仿宋" w:hAnsi="仿宋" w:eastAsia="仿宋"/>
              <w:sz w:val="24"/>
            </w:rPr>
            <w:fldChar w:fldCharType="end"/>
          </w:r>
        </w:p>
        <w:p w14:paraId="01FAB477">
          <w:pPr>
            <w:pStyle w:val="59"/>
            <w:tabs>
              <w:tab w:val="right" w:leader="dot" w:pos="8296"/>
            </w:tabs>
            <w:rPr>
              <w:rFonts w:hint="eastAsia" w:ascii="仿宋" w:hAnsi="仿宋" w:eastAsia="仿宋"/>
              <w:sz w:val="24"/>
            </w:rPr>
          </w:pPr>
          <w:r>
            <w:fldChar w:fldCharType="begin"/>
          </w:r>
          <w:r>
            <w:instrText xml:space="preserve"> HYPERLINK \l "_Toc182865241" </w:instrText>
          </w:r>
          <w:r>
            <w:fldChar w:fldCharType="separate"/>
          </w:r>
          <w:r>
            <w:rPr>
              <w:rStyle w:val="242"/>
              <w:rFonts w:hint="eastAsia" w:ascii="仿宋" w:hAnsi="仿宋" w:eastAsia="仿宋"/>
              <w:sz w:val="24"/>
            </w:rPr>
            <w:t>附件二：访谈相关照片</w:t>
          </w:r>
          <w:r>
            <w:rPr>
              <w:rFonts w:hint="eastAsia" w:ascii="仿宋" w:hAnsi="仿宋" w:eastAsia="仿宋"/>
              <w:sz w:val="24"/>
            </w:rPr>
            <w:tab/>
          </w:r>
          <w:r>
            <w:rPr>
              <w:rFonts w:hint="eastAsia" w:ascii="仿宋" w:hAnsi="仿宋" w:eastAsia="仿宋"/>
              <w:sz w:val="24"/>
            </w:rPr>
            <w:fldChar w:fldCharType="begin"/>
          </w:r>
          <w:r>
            <w:rPr>
              <w:rFonts w:hint="eastAsia" w:ascii="仿宋" w:hAnsi="仿宋" w:eastAsia="仿宋"/>
              <w:sz w:val="24"/>
            </w:rPr>
            <w:instrText xml:space="preserve"> </w:instrText>
          </w:r>
          <w:r>
            <w:rPr>
              <w:rFonts w:ascii="仿宋" w:hAnsi="仿宋" w:eastAsia="仿宋"/>
              <w:sz w:val="24"/>
            </w:rPr>
            <w:instrText xml:space="preserve">PAGEREF _Toc182865241 \h</w:instrText>
          </w:r>
          <w:r>
            <w:rPr>
              <w:rFonts w:hint="eastAsia" w:ascii="仿宋" w:hAnsi="仿宋" w:eastAsia="仿宋"/>
              <w:sz w:val="24"/>
            </w:rPr>
            <w:instrText xml:space="preserve"> </w:instrText>
          </w:r>
          <w:r>
            <w:rPr>
              <w:rFonts w:hint="eastAsia" w:ascii="仿宋" w:hAnsi="仿宋" w:eastAsia="仿宋"/>
              <w:sz w:val="24"/>
            </w:rPr>
            <w:fldChar w:fldCharType="separate"/>
          </w:r>
          <w:r>
            <w:rPr>
              <w:rFonts w:hint="eastAsia" w:ascii="仿宋" w:hAnsi="仿宋" w:eastAsia="仿宋"/>
              <w:sz w:val="24"/>
            </w:rPr>
            <w:t>36</w:t>
          </w:r>
          <w:r>
            <w:rPr>
              <w:rFonts w:hint="eastAsia" w:ascii="仿宋" w:hAnsi="仿宋" w:eastAsia="仿宋"/>
              <w:sz w:val="24"/>
            </w:rPr>
            <w:fldChar w:fldCharType="end"/>
          </w:r>
          <w:r>
            <w:rPr>
              <w:rFonts w:hint="eastAsia" w:ascii="仿宋" w:hAnsi="仿宋" w:eastAsia="仿宋"/>
              <w:sz w:val="24"/>
            </w:rPr>
            <w:fldChar w:fldCharType="end"/>
          </w:r>
        </w:p>
        <w:p w14:paraId="09E9EECF">
          <w:pPr>
            <w:pStyle w:val="59"/>
            <w:tabs>
              <w:tab w:val="right" w:leader="dot" w:pos="8296"/>
            </w:tabs>
            <w:rPr>
              <w:rFonts w:hint="eastAsia" w:ascii="仿宋" w:hAnsi="仿宋" w:eastAsia="仿宋"/>
              <w:sz w:val="24"/>
            </w:rPr>
          </w:pPr>
          <w:r>
            <w:fldChar w:fldCharType="begin"/>
          </w:r>
          <w:r>
            <w:instrText xml:space="preserve"> HYPERLINK \l "_Toc182865242" </w:instrText>
          </w:r>
          <w:r>
            <w:fldChar w:fldCharType="separate"/>
          </w:r>
          <w:r>
            <w:rPr>
              <w:rStyle w:val="242"/>
              <w:rFonts w:hint="eastAsia" w:ascii="仿宋" w:hAnsi="仿宋" w:eastAsia="仿宋"/>
              <w:sz w:val="24"/>
            </w:rPr>
            <w:t>附件二：绩效评价指标体系及得分情况表</w:t>
          </w:r>
          <w:r>
            <w:rPr>
              <w:rFonts w:hint="eastAsia" w:ascii="仿宋" w:hAnsi="仿宋" w:eastAsia="仿宋"/>
              <w:sz w:val="24"/>
            </w:rPr>
            <w:tab/>
          </w:r>
          <w:r>
            <w:rPr>
              <w:rFonts w:hint="eastAsia" w:ascii="仿宋" w:hAnsi="仿宋" w:eastAsia="仿宋"/>
              <w:sz w:val="24"/>
            </w:rPr>
            <w:fldChar w:fldCharType="begin"/>
          </w:r>
          <w:r>
            <w:rPr>
              <w:rFonts w:hint="eastAsia" w:ascii="仿宋" w:hAnsi="仿宋" w:eastAsia="仿宋"/>
              <w:sz w:val="24"/>
            </w:rPr>
            <w:instrText xml:space="preserve"> </w:instrText>
          </w:r>
          <w:r>
            <w:rPr>
              <w:rFonts w:ascii="仿宋" w:hAnsi="仿宋" w:eastAsia="仿宋"/>
              <w:sz w:val="24"/>
            </w:rPr>
            <w:instrText xml:space="preserve">PAGEREF _Toc182865242 \h</w:instrText>
          </w:r>
          <w:r>
            <w:rPr>
              <w:rFonts w:hint="eastAsia" w:ascii="仿宋" w:hAnsi="仿宋" w:eastAsia="仿宋"/>
              <w:sz w:val="24"/>
            </w:rPr>
            <w:instrText xml:space="preserve"> </w:instrText>
          </w:r>
          <w:r>
            <w:rPr>
              <w:rFonts w:hint="eastAsia" w:ascii="仿宋" w:hAnsi="仿宋" w:eastAsia="仿宋"/>
              <w:sz w:val="24"/>
            </w:rPr>
            <w:fldChar w:fldCharType="separate"/>
          </w:r>
          <w:r>
            <w:rPr>
              <w:rFonts w:hint="eastAsia" w:ascii="仿宋" w:hAnsi="仿宋" w:eastAsia="仿宋"/>
              <w:sz w:val="24"/>
            </w:rPr>
            <w:t>37</w:t>
          </w:r>
          <w:r>
            <w:rPr>
              <w:rFonts w:hint="eastAsia" w:ascii="仿宋" w:hAnsi="仿宋" w:eastAsia="仿宋"/>
              <w:sz w:val="24"/>
            </w:rPr>
            <w:fldChar w:fldCharType="end"/>
          </w:r>
          <w:r>
            <w:rPr>
              <w:rFonts w:hint="eastAsia" w:ascii="仿宋" w:hAnsi="仿宋" w:eastAsia="仿宋"/>
              <w:sz w:val="24"/>
            </w:rPr>
            <w:fldChar w:fldCharType="end"/>
          </w:r>
        </w:p>
        <w:p w14:paraId="6A4C7B76">
          <w:pPr>
            <w:rPr>
              <w:rFonts w:hint="eastAsia" w:ascii="仿宋" w:hAnsi="仿宋" w:eastAsia="仿宋"/>
              <w:sz w:val="24"/>
              <w:highlight w:val="yellow"/>
            </w:rPr>
          </w:pPr>
          <w:r>
            <w:rPr>
              <w:rFonts w:ascii="仿宋" w:hAnsi="仿宋" w:eastAsia="仿宋"/>
              <w:sz w:val="24"/>
              <w:lang w:val="zh-CN"/>
            </w:rPr>
            <w:fldChar w:fldCharType="end"/>
          </w:r>
        </w:p>
      </w:sdtContent>
    </w:sdt>
    <w:p w14:paraId="3CAE88B8">
      <w:pPr>
        <w:spacing w:after="0" w:line="360" w:lineRule="auto"/>
        <w:jc w:val="center"/>
        <w:rPr>
          <w:rFonts w:hint="eastAsia" w:ascii="宋体" w:hAnsi="宋体" w:eastAsia="宋体"/>
          <w:b/>
          <w:bCs/>
          <w:sz w:val="36"/>
          <w:szCs w:val="44"/>
          <w:highlight w:val="yellow"/>
        </w:rPr>
        <w:sectPr>
          <w:footerReference r:id="rId5" w:type="default"/>
          <w:pgSz w:w="11906" w:h="16838"/>
          <w:pgMar w:top="1440" w:right="1800" w:bottom="1440" w:left="1800" w:header="851" w:footer="992" w:gutter="0"/>
          <w:cols w:space="425" w:num="1"/>
          <w:docGrid w:type="lines" w:linePitch="312" w:charSpace="0"/>
        </w:sectPr>
      </w:pPr>
    </w:p>
    <w:p w14:paraId="5D396767">
      <w:pPr>
        <w:spacing w:after="0" w:line="408" w:lineRule="auto"/>
        <w:jc w:val="center"/>
        <w:rPr>
          <w:rFonts w:hint="eastAsia" w:ascii="仿宋" w:hAnsi="仿宋" w:eastAsia="仿宋"/>
          <w:b/>
          <w:sz w:val="28"/>
          <w:szCs w:val="44"/>
        </w:rPr>
      </w:pPr>
      <w:r>
        <w:rPr>
          <w:rFonts w:hint="eastAsia" w:ascii="仿宋" w:hAnsi="仿宋" w:eastAsia="仿宋"/>
          <w:b/>
          <w:sz w:val="28"/>
          <w:szCs w:val="44"/>
        </w:rPr>
        <w:t>2023年</w:t>
      </w:r>
      <w:r>
        <w:rPr>
          <w:rFonts w:hint="eastAsia" w:ascii="仿宋" w:hAnsi="仿宋" w:eastAsia="仿宋"/>
          <w:b/>
          <w:sz w:val="28"/>
          <w:szCs w:val="44"/>
          <w:lang w:eastAsia="zh-CN"/>
        </w:rPr>
        <w:t>度泉州市</w:t>
      </w:r>
      <w:r>
        <w:rPr>
          <w:rFonts w:hint="eastAsia" w:ascii="仿宋" w:hAnsi="仿宋" w:eastAsia="仿宋"/>
          <w:b/>
          <w:sz w:val="28"/>
          <w:szCs w:val="44"/>
        </w:rPr>
        <w:t>洛江区道路交通安全</w:t>
      </w:r>
      <w:bookmarkStart w:id="0" w:name="_Hlk174973448"/>
      <w:r>
        <w:rPr>
          <w:rFonts w:hint="eastAsia" w:ascii="仿宋" w:hAnsi="仿宋" w:eastAsia="仿宋"/>
          <w:b/>
          <w:sz w:val="28"/>
          <w:szCs w:val="44"/>
        </w:rPr>
        <w:t>专项资金</w:t>
      </w:r>
      <w:bookmarkEnd w:id="0"/>
      <w:r>
        <w:rPr>
          <w:rFonts w:hint="eastAsia" w:ascii="仿宋" w:hAnsi="仿宋" w:eastAsia="仿宋"/>
          <w:b/>
          <w:sz w:val="28"/>
          <w:szCs w:val="44"/>
        </w:rPr>
        <w:t>绩效评价报告</w:t>
      </w:r>
    </w:p>
    <w:p w14:paraId="5D366EBF">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为全面实施预算绩效管理，提高财政资金使用效益，建立科学、合理的财政支出绩效评价管理体系，泉州市启程财务咨询有限公司受洛江区财政局委托对2023年</w:t>
      </w:r>
      <w:r>
        <w:rPr>
          <w:rFonts w:hint="eastAsia" w:ascii="仿宋" w:hAnsi="仿宋" w:eastAsia="仿宋"/>
          <w:sz w:val="28"/>
          <w:szCs w:val="21"/>
          <w:lang w:eastAsia="zh-CN"/>
        </w:rPr>
        <w:t>度泉州市</w:t>
      </w:r>
      <w:r>
        <w:rPr>
          <w:rFonts w:hint="eastAsia" w:ascii="仿宋" w:hAnsi="仿宋" w:eastAsia="仿宋"/>
          <w:sz w:val="28"/>
          <w:szCs w:val="21"/>
        </w:rPr>
        <w:t>洛江区道路交通安全专项资金166.5321万元实施绩效评价，并形成《2023年</w:t>
      </w:r>
      <w:r>
        <w:rPr>
          <w:rFonts w:hint="eastAsia" w:ascii="仿宋" w:hAnsi="仿宋" w:eastAsia="仿宋"/>
          <w:sz w:val="28"/>
          <w:szCs w:val="21"/>
          <w:lang w:eastAsia="zh-CN"/>
        </w:rPr>
        <w:t>度泉州市</w:t>
      </w:r>
      <w:r>
        <w:rPr>
          <w:rFonts w:hint="eastAsia" w:ascii="仿宋" w:hAnsi="仿宋" w:eastAsia="仿宋"/>
          <w:sz w:val="28"/>
          <w:szCs w:val="21"/>
        </w:rPr>
        <w:t>洛江区道路交通安全专项资金绩效评价报告》。</w:t>
      </w:r>
    </w:p>
    <w:p w14:paraId="32F26CFD">
      <w:pPr>
        <w:spacing w:after="0" w:line="408" w:lineRule="auto"/>
        <w:ind w:firstLine="562" w:firstLineChars="200"/>
        <w:outlineLvl w:val="0"/>
        <w:rPr>
          <w:rFonts w:hint="eastAsia" w:ascii="仿宋" w:hAnsi="仿宋" w:eastAsia="仿宋"/>
          <w:b/>
          <w:sz w:val="28"/>
          <w:szCs w:val="21"/>
        </w:rPr>
      </w:pPr>
      <w:bookmarkStart w:id="1" w:name="_Toc182865195"/>
      <w:r>
        <w:rPr>
          <w:rFonts w:hint="eastAsia" w:ascii="仿宋" w:hAnsi="仿宋" w:eastAsia="仿宋"/>
          <w:b/>
          <w:sz w:val="28"/>
          <w:szCs w:val="21"/>
        </w:rPr>
        <w:t>一、项目概况</w:t>
      </w:r>
      <w:bookmarkEnd w:id="1"/>
    </w:p>
    <w:p w14:paraId="0B60AB4F">
      <w:pPr>
        <w:spacing w:after="0" w:line="408" w:lineRule="auto"/>
        <w:ind w:firstLine="562" w:firstLineChars="200"/>
        <w:jc w:val="both"/>
        <w:outlineLvl w:val="1"/>
        <w:rPr>
          <w:rFonts w:hint="eastAsia" w:ascii="仿宋" w:hAnsi="仿宋" w:eastAsia="仿宋"/>
          <w:b/>
          <w:sz w:val="28"/>
          <w:szCs w:val="21"/>
        </w:rPr>
      </w:pPr>
      <w:bookmarkStart w:id="2" w:name="_Toc182865196"/>
      <w:r>
        <w:rPr>
          <w:rFonts w:hint="eastAsia" w:ascii="仿宋" w:hAnsi="仿宋" w:eastAsia="仿宋"/>
          <w:b/>
          <w:sz w:val="28"/>
          <w:szCs w:val="21"/>
        </w:rPr>
        <w:t>（一）项目背景</w:t>
      </w:r>
      <w:bookmarkEnd w:id="2"/>
    </w:p>
    <w:p w14:paraId="495A3578">
      <w:pPr>
        <w:spacing w:after="0" w:line="408" w:lineRule="auto"/>
        <w:ind w:firstLine="560" w:firstLineChars="200"/>
        <w:jc w:val="left"/>
        <w:rPr>
          <w:rFonts w:hint="eastAsia" w:ascii="仿宋" w:hAnsi="仿宋" w:eastAsia="仿宋"/>
          <w:sz w:val="28"/>
          <w:szCs w:val="21"/>
        </w:rPr>
      </w:pPr>
      <w:bookmarkStart w:id="3" w:name="_Hlk181612351"/>
      <w:r>
        <w:rPr>
          <w:rFonts w:hint="eastAsia" w:ascii="仿宋" w:hAnsi="仿宋" w:eastAsia="仿宋"/>
          <w:sz w:val="28"/>
          <w:szCs w:val="21"/>
        </w:rPr>
        <w:t>根据《</w:t>
      </w:r>
      <w:r>
        <w:rPr>
          <w:rFonts w:hint="eastAsia" w:ascii="仿宋" w:hAnsi="仿宋" w:eastAsia="仿宋"/>
          <w:sz w:val="28"/>
          <w:szCs w:val="21"/>
          <w:lang w:eastAsia="zh-CN"/>
        </w:rPr>
        <w:t>福建省人民政府办公厅</w:t>
      </w:r>
      <w:r>
        <w:rPr>
          <w:rFonts w:hint="eastAsia" w:ascii="仿宋" w:hAnsi="仿宋" w:eastAsia="仿宋"/>
          <w:sz w:val="28"/>
          <w:szCs w:val="21"/>
        </w:rPr>
        <w:t>关于印发</w:t>
      </w:r>
      <w:r>
        <w:rPr>
          <w:rFonts w:hint="eastAsia" w:ascii="仿宋" w:hAnsi="仿宋" w:eastAsia="仿宋"/>
          <w:sz w:val="28"/>
          <w:szCs w:val="21"/>
          <w:lang w:val="en-US" w:eastAsia="zh-CN"/>
        </w:rPr>
        <w:t>&lt;</w:t>
      </w:r>
      <w:r>
        <w:rPr>
          <w:rFonts w:hint="eastAsia" w:ascii="仿宋" w:hAnsi="仿宋" w:eastAsia="仿宋"/>
          <w:sz w:val="28"/>
          <w:szCs w:val="21"/>
        </w:rPr>
        <w:t>福建省道路交通安全综合整治三年专项行动实施方案（2019-2021年）</w:t>
      </w:r>
      <w:r>
        <w:rPr>
          <w:rFonts w:hint="eastAsia" w:ascii="仿宋" w:hAnsi="仿宋" w:eastAsia="仿宋"/>
          <w:sz w:val="28"/>
          <w:szCs w:val="21"/>
          <w:lang w:val="en-US" w:eastAsia="zh-CN"/>
        </w:rPr>
        <w:t>&gt;</w:t>
      </w:r>
      <w:bookmarkStart w:id="62" w:name="_GoBack"/>
      <w:bookmarkEnd w:id="62"/>
      <w:r>
        <w:rPr>
          <w:rFonts w:hint="eastAsia" w:ascii="仿宋" w:hAnsi="仿宋" w:eastAsia="仿宋"/>
          <w:sz w:val="28"/>
          <w:szCs w:val="21"/>
        </w:rPr>
        <w:t>的通知》（闽政办〔2019〕24号）</w:t>
      </w:r>
      <w:bookmarkEnd w:id="3"/>
      <w:r>
        <w:rPr>
          <w:rFonts w:hint="eastAsia" w:ascii="仿宋" w:hAnsi="仿宋" w:eastAsia="仿宋"/>
          <w:sz w:val="28"/>
          <w:szCs w:val="21"/>
        </w:rPr>
        <w:t>文件的指示，为深入贯彻落实习近平总书记关于安全生产的指示批示精神，认真落实党中央、国务院和省委、省政府关于安全生产的工作部署，进一步巩固深化道路交通安全综合整治工作成效，决定部署开展全省道路交通安全综合整治专项行动。推动全省道路交通安全工作体制机制更加健全，道路交通安全基础设施更加完善，交通安全执法管理效能明显提升，部门协作机制进一步完善，交通参与者交通安全意识显著增强，道路交通安全形势持续稳定向好。坚决防范和遏制重特大道路交通事故，实现全省道路交通事故死亡人数、较大交通事故起数的年平均数有所下降。2023年度洛江区道路交通安全专项资金预算166.5321万元。</w:t>
      </w:r>
    </w:p>
    <w:p w14:paraId="22E49B05">
      <w:pPr>
        <w:spacing w:after="0" w:line="408" w:lineRule="auto"/>
        <w:ind w:firstLine="562" w:firstLineChars="200"/>
        <w:jc w:val="both"/>
        <w:outlineLvl w:val="1"/>
        <w:rPr>
          <w:rFonts w:hint="eastAsia" w:ascii="仿宋" w:hAnsi="仿宋" w:eastAsia="仿宋"/>
          <w:b/>
          <w:sz w:val="28"/>
          <w:szCs w:val="21"/>
        </w:rPr>
      </w:pPr>
      <w:bookmarkStart w:id="4" w:name="_Toc182865197"/>
      <w:r>
        <w:rPr>
          <w:rFonts w:hint="eastAsia" w:ascii="仿宋" w:hAnsi="仿宋" w:eastAsia="仿宋"/>
          <w:b/>
          <w:sz w:val="28"/>
          <w:szCs w:val="21"/>
        </w:rPr>
        <w:t>（二）作用和意义</w:t>
      </w:r>
      <w:bookmarkEnd w:id="4"/>
    </w:p>
    <w:p w14:paraId="6CAD8D3D">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道路交通安全建设的作用与意义主要体现在预防和减少交通事故、</w:t>
      </w:r>
      <w:r>
        <w:rPr>
          <w:rFonts w:ascii="仿宋" w:hAnsi="仿宋" w:eastAsia="仿宋" w:cs="Times New Roman"/>
          <w:sz w:val="28"/>
          <w:szCs w:val="21"/>
        </w:rPr>
        <w:t>‌</w:t>
      </w:r>
      <w:r>
        <w:rPr>
          <w:rFonts w:hint="eastAsia" w:ascii="仿宋" w:hAnsi="仿宋" w:eastAsia="仿宋" w:cs="宋体"/>
          <w:sz w:val="28"/>
          <w:szCs w:val="21"/>
        </w:rPr>
        <w:t>保障人民群众生命财产安全、改善道路通行条件</w:t>
      </w:r>
      <w:r>
        <w:rPr>
          <w:rFonts w:hint="eastAsia" w:ascii="MS Gothic" w:hAnsi="MS Gothic" w:eastAsia="MS Gothic" w:cs="MS Gothic"/>
          <w:sz w:val="28"/>
          <w:szCs w:val="21"/>
        </w:rPr>
        <w:t>‌</w:t>
      </w:r>
      <w:r>
        <w:rPr>
          <w:rFonts w:hint="eastAsia" w:ascii="仿宋" w:hAnsi="仿宋" w:eastAsia="仿宋" w:cs="宋体"/>
          <w:sz w:val="28"/>
          <w:szCs w:val="21"/>
        </w:rPr>
        <w:t>、改善道路交通秩序</w:t>
      </w:r>
      <w:r>
        <w:rPr>
          <w:rFonts w:hint="eastAsia" w:ascii="MS Gothic" w:hAnsi="MS Gothic" w:eastAsia="MS Gothic" w:cs="MS Gothic"/>
          <w:sz w:val="28"/>
          <w:szCs w:val="21"/>
        </w:rPr>
        <w:t>‌</w:t>
      </w:r>
      <w:r>
        <w:rPr>
          <w:rFonts w:hint="eastAsia" w:ascii="仿宋" w:hAnsi="仿宋" w:eastAsia="仿宋" w:cs="宋体"/>
          <w:sz w:val="28"/>
          <w:szCs w:val="21"/>
        </w:rPr>
        <w:t>、提升道路通行效率。</w:t>
      </w:r>
      <w:r>
        <w:rPr>
          <w:rFonts w:ascii="仿宋" w:hAnsi="仿宋" w:eastAsia="仿宋" w:cs="Times New Roman"/>
          <w:sz w:val="28"/>
          <w:szCs w:val="21"/>
        </w:rPr>
        <w:t>‌</w:t>
      </w:r>
      <w:r>
        <w:rPr>
          <w:rFonts w:hint="eastAsia" w:ascii="仿宋" w:hAnsi="仿宋" w:eastAsia="仿宋" w:cs="Times New Roman"/>
          <w:sz w:val="28"/>
          <w:szCs w:val="21"/>
        </w:rPr>
        <w:t>具体表现如下：</w:t>
      </w:r>
    </w:p>
    <w:p w14:paraId="6AF79B09">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首先，</w:t>
      </w:r>
      <w:r>
        <w:rPr>
          <w:rFonts w:hint="eastAsia" w:ascii="MS Gothic" w:hAnsi="MS Gothic" w:eastAsia="MS Gothic" w:cs="MS Gothic"/>
          <w:sz w:val="28"/>
          <w:szCs w:val="21"/>
        </w:rPr>
        <w:t>‌</w:t>
      </w:r>
      <w:r>
        <w:rPr>
          <w:rFonts w:hint="eastAsia" w:ascii="仿宋" w:hAnsi="仿宋" w:eastAsia="仿宋" w:cs="仿宋"/>
          <w:sz w:val="28"/>
          <w:szCs w:val="21"/>
        </w:rPr>
        <w:t>预防和减少交通事故</w:t>
      </w:r>
      <w:r>
        <w:rPr>
          <w:rFonts w:hint="eastAsia" w:ascii="MS Gothic" w:hAnsi="MS Gothic" w:eastAsia="MS Gothic" w:cs="MS Gothic"/>
          <w:sz w:val="28"/>
          <w:szCs w:val="21"/>
        </w:rPr>
        <w:t>‌</w:t>
      </w:r>
      <w:r>
        <w:rPr>
          <w:rFonts w:hint="eastAsia" w:ascii="仿宋" w:hAnsi="仿宋" w:eastAsia="仿宋" w:cs="仿宋"/>
          <w:sz w:val="28"/>
          <w:szCs w:val="21"/>
        </w:rPr>
        <w:t>是交通道路隐患排查整治的核心作用之一。通过科学分析研判道路交通事故的原因，找出事故多发点段，采取针对性的措施进行治理和预防，可以有效降低事故发生率。例如，通过安装减速标志、限速标志以及清理马路市场等措施，可以将交通事故多发点变成基本安全无事故的地段</w:t>
      </w:r>
      <w:r>
        <w:rPr>
          <w:rFonts w:hint="eastAsia" w:ascii="MS Gothic" w:hAnsi="MS Gothic" w:eastAsia="MS Gothic" w:cs="MS Gothic"/>
          <w:sz w:val="28"/>
          <w:szCs w:val="21"/>
        </w:rPr>
        <w:t>‌</w:t>
      </w:r>
      <w:r>
        <w:rPr>
          <w:rFonts w:ascii="仿宋" w:hAnsi="仿宋" w:eastAsia="仿宋"/>
          <w:sz w:val="28"/>
          <w:szCs w:val="21"/>
        </w:rPr>
        <w:t>。</w:t>
      </w:r>
    </w:p>
    <w:p w14:paraId="7E68F26A">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其次，</w:t>
      </w:r>
      <w:r>
        <w:rPr>
          <w:rFonts w:hint="eastAsia" w:ascii="MS Gothic" w:hAnsi="MS Gothic" w:eastAsia="MS Gothic" w:cs="MS Gothic"/>
          <w:sz w:val="28"/>
          <w:szCs w:val="21"/>
        </w:rPr>
        <w:t>‌</w:t>
      </w:r>
      <w:r>
        <w:rPr>
          <w:rFonts w:hint="eastAsia" w:ascii="仿宋" w:hAnsi="仿宋" w:eastAsia="仿宋" w:cs="仿宋"/>
          <w:sz w:val="28"/>
          <w:szCs w:val="21"/>
        </w:rPr>
        <w:t>改善道路交通通行条件</w:t>
      </w:r>
      <w:r>
        <w:rPr>
          <w:rFonts w:hint="eastAsia" w:ascii="MS Gothic" w:hAnsi="MS Gothic" w:eastAsia="MS Gothic" w:cs="MS Gothic"/>
          <w:sz w:val="28"/>
          <w:szCs w:val="21"/>
        </w:rPr>
        <w:t>‌</w:t>
      </w:r>
      <w:r>
        <w:rPr>
          <w:rFonts w:hint="eastAsia" w:ascii="仿宋" w:hAnsi="仿宋" w:eastAsia="仿宋" w:cs="仿宋"/>
          <w:sz w:val="28"/>
          <w:szCs w:val="21"/>
        </w:rPr>
        <w:t>也是交通道路隐患排查整治的重要意义之一。通过排查和治理道路安全隐患，可以改善道路交通环境，提升道路通行效率。例如，通过增设红绿灯、斑马线、电子警察等设施，可以打造安全出行环境，整治交通乱象，提升道路通行能力</w:t>
      </w:r>
      <w:r>
        <w:rPr>
          <w:rFonts w:hint="eastAsia" w:ascii="MS Gothic" w:hAnsi="MS Gothic" w:eastAsia="MS Gothic" w:cs="MS Gothic"/>
          <w:sz w:val="28"/>
          <w:szCs w:val="21"/>
        </w:rPr>
        <w:t>‌</w:t>
      </w:r>
      <w:r>
        <w:rPr>
          <w:rFonts w:ascii="仿宋" w:hAnsi="仿宋" w:eastAsia="仿宋"/>
          <w:sz w:val="28"/>
          <w:szCs w:val="21"/>
        </w:rPr>
        <w:t>。</w:t>
      </w:r>
    </w:p>
    <w:p w14:paraId="09057F7D">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此外，</w:t>
      </w:r>
      <w:r>
        <w:rPr>
          <w:rFonts w:hint="eastAsia" w:ascii="MS Gothic" w:hAnsi="MS Gothic" w:eastAsia="MS Gothic" w:cs="MS Gothic"/>
          <w:sz w:val="28"/>
          <w:szCs w:val="21"/>
        </w:rPr>
        <w:t>‌</w:t>
      </w:r>
      <w:r>
        <w:rPr>
          <w:rFonts w:hint="eastAsia" w:ascii="仿宋" w:hAnsi="仿宋" w:eastAsia="仿宋" w:cs="仿宋"/>
          <w:sz w:val="28"/>
          <w:szCs w:val="21"/>
        </w:rPr>
        <w:t>保障居民出行安全</w:t>
      </w:r>
      <w:r>
        <w:rPr>
          <w:rFonts w:hint="eastAsia" w:ascii="MS Gothic" w:hAnsi="MS Gothic" w:eastAsia="MS Gothic" w:cs="MS Gothic"/>
          <w:sz w:val="28"/>
          <w:szCs w:val="21"/>
        </w:rPr>
        <w:t>‌</w:t>
      </w:r>
      <w:r>
        <w:rPr>
          <w:rFonts w:hint="eastAsia" w:ascii="仿宋" w:hAnsi="仿宋" w:eastAsia="仿宋" w:cs="仿宋"/>
          <w:sz w:val="28"/>
          <w:szCs w:val="21"/>
        </w:rPr>
        <w:t>是交通道路隐患排查整治的直接目的。通过全面排查和治理道路安全隐患，可以消除影响居民出行的各种障碍，确保居民出行安全。例如，通过排查人行道标线模糊、交通标志标线问题、路面坑洼等问题，并进行整改，可以有效保障城市道路的安全有序</w:t>
      </w:r>
      <w:r>
        <w:rPr>
          <w:rFonts w:hint="eastAsia" w:ascii="MS Gothic" w:hAnsi="MS Gothic" w:eastAsia="MS Gothic" w:cs="MS Gothic"/>
          <w:sz w:val="28"/>
          <w:szCs w:val="21"/>
        </w:rPr>
        <w:t>‌</w:t>
      </w:r>
      <w:r>
        <w:rPr>
          <w:rFonts w:ascii="仿宋" w:hAnsi="仿宋" w:eastAsia="仿宋"/>
          <w:sz w:val="28"/>
          <w:szCs w:val="21"/>
        </w:rPr>
        <w:t>。</w:t>
      </w:r>
    </w:p>
    <w:p w14:paraId="05B69AFE">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最后，</w:t>
      </w:r>
      <w:r>
        <w:rPr>
          <w:rFonts w:hint="eastAsia" w:ascii="MS Gothic" w:hAnsi="MS Gothic" w:eastAsia="MS Gothic" w:cs="MS Gothic"/>
          <w:sz w:val="28"/>
          <w:szCs w:val="21"/>
        </w:rPr>
        <w:t>‌</w:t>
      </w:r>
      <w:r>
        <w:rPr>
          <w:rFonts w:hint="eastAsia" w:ascii="仿宋" w:hAnsi="仿宋" w:eastAsia="仿宋" w:cs="仿宋"/>
          <w:sz w:val="28"/>
          <w:szCs w:val="21"/>
        </w:rPr>
        <w:t>提升城市形象和居民生活质量</w:t>
      </w:r>
      <w:r>
        <w:rPr>
          <w:rFonts w:hint="eastAsia" w:ascii="MS Gothic" w:hAnsi="MS Gothic" w:eastAsia="MS Gothic" w:cs="MS Gothic"/>
          <w:sz w:val="28"/>
          <w:szCs w:val="21"/>
        </w:rPr>
        <w:t>‌</w:t>
      </w:r>
      <w:r>
        <w:rPr>
          <w:rFonts w:hint="eastAsia" w:ascii="仿宋" w:hAnsi="仿宋" w:eastAsia="仿宋" w:cs="仿宋"/>
          <w:sz w:val="28"/>
          <w:szCs w:val="21"/>
        </w:rPr>
        <w:t>也是交通道路隐患排查整治的间接效果。通过改善道路交通环境，可以提升城市的整体形象，同时提升居民出行的舒适性和便利性。例如，通过港湾式改造公交站点、设置自助过街信号灯等措施，可以提升城市交通设施的人性化和智能化水平</w:t>
      </w:r>
      <w:r>
        <w:rPr>
          <w:rFonts w:hint="eastAsia" w:ascii="MS Gothic" w:hAnsi="MS Gothic" w:eastAsia="MS Gothic" w:cs="MS Gothic"/>
          <w:sz w:val="28"/>
          <w:szCs w:val="21"/>
        </w:rPr>
        <w:t>‌</w:t>
      </w:r>
      <w:r>
        <w:rPr>
          <w:rFonts w:ascii="仿宋" w:hAnsi="仿宋" w:eastAsia="仿宋"/>
          <w:sz w:val="28"/>
          <w:szCs w:val="21"/>
        </w:rPr>
        <w:t>。</w:t>
      </w:r>
    </w:p>
    <w:p w14:paraId="38482F15">
      <w:pPr>
        <w:spacing w:after="0" w:line="408" w:lineRule="auto"/>
        <w:ind w:firstLine="560" w:firstLineChars="200"/>
        <w:jc w:val="both"/>
        <w:rPr>
          <w:rFonts w:hint="eastAsia" w:ascii="仿宋" w:hAnsi="仿宋" w:eastAsia="仿宋"/>
          <w:sz w:val="28"/>
          <w:szCs w:val="21"/>
          <w:highlight w:val="yellow"/>
        </w:rPr>
      </w:pPr>
      <w:r>
        <w:rPr>
          <w:rFonts w:hint="eastAsia" w:ascii="仿宋" w:hAnsi="仿宋" w:eastAsia="仿宋"/>
          <w:sz w:val="28"/>
          <w:szCs w:val="21"/>
        </w:rPr>
        <w:t>综上所述，交通道路隐患排查整治在预防和减少交通事故、改善道路交通通行条件、保障居民出行安全以及提升城市形象和居民生活质量等方面都具有重要作用和意义。</w:t>
      </w:r>
    </w:p>
    <w:p w14:paraId="4CC0B850">
      <w:pPr>
        <w:spacing w:after="0" w:line="408" w:lineRule="auto"/>
        <w:ind w:firstLine="562" w:firstLineChars="200"/>
        <w:jc w:val="both"/>
        <w:outlineLvl w:val="1"/>
        <w:rPr>
          <w:rFonts w:hint="eastAsia" w:ascii="仿宋" w:hAnsi="仿宋" w:eastAsia="仿宋"/>
          <w:b/>
          <w:sz w:val="28"/>
          <w:szCs w:val="21"/>
        </w:rPr>
      </w:pPr>
      <w:bookmarkStart w:id="5" w:name="_Toc182865198"/>
      <w:r>
        <w:rPr>
          <w:rFonts w:hint="eastAsia" w:ascii="仿宋" w:hAnsi="仿宋" w:eastAsia="仿宋"/>
          <w:b/>
          <w:sz w:val="28"/>
          <w:szCs w:val="21"/>
        </w:rPr>
        <w:t>（三）项目的内容</w:t>
      </w:r>
      <w:bookmarkEnd w:id="5"/>
    </w:p>
    <w:p w14:paraId="48F6A83B">
      <w:pPr>
        <w:spacing w:after="0" w:line="408" w:lineRule="auto"/>
        <w:ind w:firstLine="560" w:firstLineChars="200"/>
        <w:jc w:val="both"/>
        <w:outlineLvl w:val="2"/>
        <w:rPr>
          <w:rFonts w:hint="eastAsia" w:ascii="仿宋" w:hAnsi="仿宋" w:eastAsia="仿宋"/>
          <w:sz w:val="28"/>
          <w:szCs w:val="21"/>
        </w:rPr>
      </w:pPr>
      <w:bookmarkStart w:id="6" w:name="_Toc182865199"/>
      <w:r>
        <w:rPr>
          <w:rFonts w:hint="eastAsia" w:ascii="仿宋" w:hAnsi="仿宋" w:eastAsia="仿宋"/>
          <w:sz w:val="28"/>
          <w:szCs w:val="21"/>
        </w:rPr>
        <w:t>1.</w:t>
      </w:r>
      <w:bookmarkStart w:id="7" w:name="_Hlk181612377"/>
      <w:r>
        <w:rPr>
          <w:rFonts w:hint="eastAsia" w:ascii="仿宋" w:hAnsi="仿宋" w:eastAsia="仿宋"/>
          <w:sz w:val="28"/>
          <w:szCs w:val="21"/>
        </w:rPr>
        <w:t>洛江区道路交通安全专项资金</w:t>
      </w:r>
      <w:bookmarkEnd w:id="7"/>
      <w:r>
        <w:rPr>
          <w:rFonts w:hint="eastAsia" w:ascii="仿宋" w:hAnsi="仿宋" w:eastAsia="仿宋"/>
          <w:sz w:val="28"/>
          <w:szCs w:val="21"/>
        </w:rPr>
        <w:t>的用途</w:t>
      </w:r>
      <w:bookmarkEnd w:id="6"/>
    </w:p>
    <w:p w14:paraId="671677D1">
      <w:pPr>
        <w:spacing w:after="0" w:line="408" w:lineRule="auto"/>
        <w:ind w:firstLine="560" w:firstLineChars="200"/>
        <w:jc w:val="both"/>
        <w:rPr>
          <w:rFonts w:hint="eastAsia" w:ascii="仿宋" w:hAnsi="仿宋" w:eastAsia="仿宋"/>
          <w:sz w:val="28"/>
          <w:szCs w:val="21"/>
          <w:highlight w:val="yellow"/>
        </w:rPr>
      </w:pPr>
      <w:r>
        <w:rPr>
          <w:rFonts w:hint="eastAsia" w:ascii="仿宋" w:hAnsi="仿宋" w:eastAsia="仿宋"/>
          <w:sz w:val="28"/>
          <w:szCs w:val="21"/>
        </w:rPr>
        <w:t>根据《</w:t>
      </w:r>
      <w:r>
        <w:rPr>
          <w:rFonts w:hint="eastAsia" w:ascii="仿宋" w:hAnsi="仿宋" w:eastAsia="仿宋"/>
          <w:sz w:val="28"/>
          <w:szCs w:val="21"/>
          <w:lang w:eastAsia="zh-CN"/>
        </w:rPr>
        <w:t>福建省人民政府办公厅</w:t>
      </w:r>
      <w:r>
        <w:rPr>
          <w:rFonts w:hint="eastAsia" w:ascii="仿宋" w:hAnsi="仿宋" w:eastAsia="仿宋"/>
          <w:sz w:val="28"/>
          <w:szCs w:val="21"/>
        </w:rPr>
        <w:t>关于印发</w:t>
      </w:r>
      <w:r>
        <w:rPr>
          <w:rFonts w:hint="eastAsia" w:ascii="仿宋" w:hAnsi="仿宋" w:eastAsia="仿宋"/>
          <w:sz w:val="28"/>
          <w:szCs w:val="21"/>
          <w:lang w:val="en-US" w:eastAsia="zh-CN"/>
        </w:rPr>
        <w:t>&lt;</w:t>
      </w:r>
      <w:r>
        <w:rPr>
          <w:rFonts w:hint="eastAsia" w:ascii="仿宋" w:hAnsi="仿宋" w:eastAsia="仿宋"/>
          <w:sz w:val="28"/>
          <w:szCs w:val="21"/>
        </w:rPr>
        <w:t>福建省道路交通安全综合整治三年专项行动实施方案（2019-2021年）</w:t>
      </w:r>
      <w:r>
        <w:rPr>
          <w:rFonts w:hint="eastAsia" w:ascii="仿宋" w:hAnsi="仿宋" w:eastAsia="仿宋"/>
          <w:sz w:val="28"/>
          <w:szCs w:val="21"/>
          <w:lang w:val="en-US" w:eastAsia="zh-CN"/>
        </w:rPr>
        <w:t>&gt;</w:t>
      </w:r>
      <w:r>
        <w:rPr>
          <w:rFonts w:hint="eastAsia" w:ascii="仿宋" w:hAnsi="仿宋" w:eastAsia="仿宋"/>
          <w:sz w:val="28"/>
          <w:szCs w:val="21"/>
        </w:rPr>
        <w:t>的通知》（闽政办〔2019〕24号）文件所示，洛江区道路交通安全专项资金的用途主要是用于道路安全建设，排查道路交通隐患点，改善道路交通情况等。具体建设目标如下：</w:t>
      </w:r>
    </w:p>
    <w:p w14:paraId="6EDC191B">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2023年度主要针对洛江部分隐患路段进行整治，洛江区部分信号灯及路口分道牌监控牌进行整改，对部分学校周边路段进行视频监控的安装，部分道路对电子警察进行安装，对部分道路的交通标志标线进行重新划线等。</w:t>
      </w:r>
    </w:p>
    <w:p w14:paraId="4DA21165">
      <w:pPr>
        <w:spacing w:after="0" w:line="408" w:lineRule="auto"/>
        <w:ind w:firstLine="560" w:firstLineChars="200"/>
        <w:jc w:val="both"/>
        <w:outlineLvl w:val="2"/>
        <w:rPr>
          <w:rFonts w:hint="eastAsia" w:ascii="仿宋" w:hAnsi="仿宋" w:eastAsia="仿宋"/>
          <w:sz w:val="28"/>
          <w:szCs w:val="21"/>
        </w:rPr>
      </w:pPr>
      <w:bookmarkStart w:id="8" w:name="_Toc182865200"/>
      <w:r>
        <w:rPr>
          <w:rFonts w:hint="eastAsia" w:ascii="仿宋" w:hAnsi="仿宋" w:eastAsia="仿宋"/>
          <w:sz w:val="28"/>
          <w:szCs w:val="21"/>
        </w:rPr>
        <w:t>2.预算编制、批复和执行</w:t>
      </w:r>
      <w:bookmarkEnd w:id="8"/>
    </w:p>
    <w:p w14:paraId="39047C2A">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泉州市公安局交通警察支队洛江大队关于道路交通安全专项资金项目2023年度全年预算金额为166.5321万元。其中交通标志标线预算金额为16.5321万，为民办实事项目：道路交通安全应隐患整治项目预算金额为150万。2023年度实际从财政收到163.8821元。整体项目支出金额为163.7121万元，其中2023年支出金额为</w:t>
      </w:r>
      <w:bookmarkStart w:id="9" w:name="_Hlk181612961"/>
      <w:r>
        <w:rPr>
          <w:rFonts w:hint="eastAsia" w:ascii="仿宋" w:hAnsi="仿宋" w:eastAsia="仿宋"/>
          <w:sz w:val="28"/>
          <w:szCs w:val="21"/>
        </w:rPr>
        <w:t>57.70</w:t>
      </w:r>
      <w:bookmarkEnd w:id="9"/>
      <w:r>
        <w:rPr>
          <w:rFonts w:hint="eastAsia" w:ascii="仿宋" w:hAnsi="仿宋" w:eastAsia="仿宋"/>
          <w:sz w:val="28"/>
          <w:szCs w:val="21"/>
        </w:rPr>
        <w:t>21万元，2024年支出金额为106.01万元。2023年度预算执行金额（实际支出金额）为35.21%。（预算执行率=57.7021/163.8821*100%=35.21%）</w:t>
      </w:r>
    </w:p>
    <w:p w14:paraId="3CB879B0">
      <w:pPr>
        <w:spacing w:after="0" w:line="408" w:lineRule="auto"/>
        <w:ind w:firstLine="562" w:firstLineChars="200"/>
        <w:outlineLvl w:val="0"/>
        <w:rPr>
          <w:rFonts w:hint="eastAsia" w:ascii="仿宋" w:hAnsi="仿宋" w:eastAsia="仿宋"/>
          <w:b/>
          <w:sz w:val="28"/>
          <w:szCs w:val="21"/>
        </w:rPr>
      </w:pPr>
      <w:bookmarkStart w:id="10" w:name="_Toc182865201"/>
      <w:r>
        <w:rPr>
          <w:rFonts w:hint="eastAsia" w:ascii="仿宋" w:hAnsi="仿宋" w:eastAsia="仿宋"/>
          <w:b/>
          <w:sz w:val="28"/>
          <w:szCs w:val="21"/>
        </w:rPr>
        <w:t>二、项目实施情况</w:t>
      </w:r>
      <w:bookmarkEnd w:id="10"/>
    </w:p>
    <w:p w14:paraId="67329068">
      <w:pPr>
        <w:spacing w:after="0" w:line="408" w:lineRule="auto"/>
        <w:ind w:firstLine="562" w:firstLineChars="200"/>
        <w:jc w:val="both"/>
        <w:outlineLvl w:val="1"/>
        <w:rPr>
          <w:rFonts w:hint="eastAsia" w:ascii="仿宋" w:hAnsi="仿宋" w:eastAsia="仿宋"/>
          <w:b/>
          <w:sz w:val="28"/>
          <w:szCs w:val="21"/>
        </w:rPr>
      </w:pPr>
      <w:bookmarkStart w:id="11" w:name="_Toc182865202"/>
      <w:r>
        <w:rPr>
          <w:rFonts w:hint="eastAsia" w:ascii="仿宋" w:hAnsi="仿宋" w:eastAsia="仿宋"/>
          <w:b/>
          <w:sz w:val="28"/>
          <w:szCs w:val="21"/>
        </w:rPr>
        <w:t>（一）资金来源及使用情况</w:t>
      </w:r>
      <w:bookmarkEnd w:id="11"/>
    </w:p>
    <w:p w14:paraId="042B5499">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泉州市公安局交通警察支队洛江大队关于</w:t>
      </w:r>
      <w:bookmarkStart w:id="12" w:name="_Hlk181613107"/>
      <w:r>
        <w:rPr>
          <w:rFonts w:hint="eastAsia" w:ascii="仿宋" w:hAnsi="仿宋" w:eastAsia="仿宋"/>
          <w:sz w:val="28"/>
          <w:szCs w:val="21"/>
        </w:rPr>
        <w:t>道路交通安全专项资金</w:t>
      </w:r>
      <w:bookmarkEnd w:id="12"/>
      <w:r>
        <w:rPr>
          <w:rFonts w:hint="eastAsia" w:ascii="仿宋" w:hAnsi="仿宋" w:eastAsia="仿宋"/>
          <w:sz w:val="28"/>
          <w:szCs w:val="21"/>
        </w:rPr>
        <w:t>项目2023年度全年预算金额为166.5321万元，资金来源均属于财政拨款。2023年度实际从财政收到163.8821元。整体项目支出金额为163.7121万元，其中2023年支出金额为57.7021万元，2024年支出金额为106.01万元。2023年度预算执行金额（实际支出金额）为35.21%。（预算执行率=57.7021/163.8821*100%=35.21%）具体收入支出明细如下表1及表2所示：</w:t>
      </w:r>
    </w:p>
    <w:p w14:paraId="000E12C1">
      <w:pPr>
        <w:spacing w:after="0" w:line="408" w:lineRule="auto"/>
        <w:jc w:val="center"/>
        <w:rPr>
          <w:rFonts w:hint="eastAsia" w:ascii="仿宋" w:hAnsi="仿宋" w:eastAsia="仿宋"/>
          <w:sz w:val="28"/>
          <w:szCs w:val="21"/>
          <w:highlight w:val="yellow"/>
        </w:rPr>
      </w:pPr>
      <w:r>
        <w:rPr>
          <w:rFonts w:hint="eastAsia" w:ascii="仿宋" w:hAnsi="仿宋" w:eastAsia="仿宋"/>
          <w:b/>
          <w:bCs/>
          <w:sz w:val="28"/>
          <w:szCs w:val="21"/>
        </w:rPr>
        <w:t>表1  道路交通安全专项资金预算收入明细表</w:t>
      </w:r>
    </w:p>
    <w:p w14:paraId="44C49733">
      <w:pPr>
        <w:spacing w:after="0" w:line="240" w:lineRule="auto"/>
        <w:ind w:firstLine="560"/>
        <w:jc w:val="right"/>
        <w:rPr>
          <w:rFonts w:hint="eastAsia" w:ascii="仿宋" w:hAnsi="仿宋" w:eastAsia="仿宋"/>
          <w:b/>
          <w:bCs/>
          <w:sz w:val="24"/>
          <w:szCs w:val="21"/>
        </w:rPr>
      </w:pPr>
      <w:r>
        <w:rPr>
          <w:rFonts w:hint="eastAsia" w:ascii="仿宋" w:hAnsi="仿宋" w:eastAsia="仿宋"/>
          <w:b/>
          <w:bCs/>
          <w:sz w:val="24"/>
          <w:szCs w:val="21"/>
        </w:rPr>
        <w:t>单位：万元</w:t>
      </w:r>
    </w:p>
    <w:tbl>
      <w:tblPr>
        <w:tblStyle w:val="9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0"/>
        <w:gridCol w:w="2690"/>
        <w:gridCol w:w="1985"/>
        <w:gridCol w:w="1728"/>
        <w:gridCol w:w="2631"/>
      </w:tblGrid>
      <w:tr w14:paraId="18C74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16" w:type="pct"/>
            <w:shd w:val="clear" w:color="auto" w:fill="D8D8D8" w:themeFill="background1" w:themeFillShade="D9"/>
            <w:vAlign w:val="center"/>
          </w:tcPr>
          <w:p w14:paraId="1FCAD1EF">
            <w:pPr>
              <w:adjustRightInd w:val="0"/>
              <w:snapToGrid w:val="0"/>
              <w:spacing w:after="0" w:line="408" w:lineRule="auto"/>
              <w:jc w:val="center"/>
              <w:rPr>
                <w:rFonts w:hint="eastAsia" w:ascii="仿宋" w:hAnsi="仿宋" w:eastAsia="仿宋"/>
                <w:b/>
                <w:snapToGrid w:val="0"/>
                <w:kern w:val="0"/>
                <w:sz w:val="18"/>
                <w:szCs w:val="21"/>
              </w:rPr>
            </w:pPr>
            <w:r>
              <w:rPr>
                <w:rFonts w:hint="eastAsia" w:ascii="仿宋" w:hAnsi="仿宋" w:eastAsia="仿宋"/>
                <w:b/>
                <w:snapToGrid w:val="0"/>
                <w:kern w:val="0"/>
                <w:sz w:val="18"/>
                <w:szCs w:val="21"/>
              </w:rPr>
              <w:t>序号</w:t>
            </w:r>
          </w:p>
        </w:tc>
        <w:tc>
          <w:tcPr>
            <w:tcW w:w="1365" w:type="pct"/>
            <w:shd w:val="clear" w:color="auto" w:fill="D8D8D8" w:themeFill="background1" w:themeFillShade="D9"/>
            <w:vAlign w:val="center"/>
          </w:tcPr>
          <w:p w14:paraId="42E482AF">
            <w:pPr>
              <w:adjustRightInd w:val="0"/>
              <w:snapToGrid w:val="0"/>
              <w:spacing w:after="0" w:line="408" w:lineRule="auto"/>
              <w:jc w:val="center"/>
              <w:rPr>
                <w:rFonts w:hint="eastAsia" w:ascii="仿宋" w:hAnsi="仿宋" w:eastAsia="仿宋"/>
                <w:b/>
                <w:snapToGrid w:val="0"/>
                <w:kern w:val="0"/>
                <w:sz w:val="18"/>
                <w:szCs w:val="21"/>
              </w:rPr>
            </w:pPr>
            <w:r>
              <w:rPr>
                <w:rFonts w:hint="eastAsia" w:ascii="仿宋" w:hAnsi="仿宋" w:eastAsia="仿宋"/>
                <w:b/>
                <w:snapToGrid w:val="0"/>
                <w:kern w:val="0"/>
                <w:sz w:val="18"/>
                <w:szCs w:val="21"/>
              </w:rPr>
              <w:t>项目</w:t>
            </w:r>
          </w:p>
        </w:tc>
        <w:tc>
          <w:tcPr>
            <w:tcW w:w="1007" w:type="pct"/>
            <w:shd w:val="clear" w:color="auto" w:fill="D8D8D8" w:themeFill="background1" w:themeFillShade="D9"/>
            <w:vAlign w:val="center"/>
          </w:tcPr>
          <w:p w14:paraId="53764AA4">
            <w:pPr>
              <w:adjustRightInd w:val="0"/>
              <w:snapToGrid w:val="0"/>
              <w:spacing w:after="0" w:line="408" w:lineRule="auto"/>
              <w:jc w:val="center"/>
              <w:rPr>
                <w:rFonts w:hint="eastAsia" w:ascii="仿宋" w:hAnsi="仿宋" w:eastAsia="仿宋"/>
                <w:b/>
                <w:snapToGrid w:val="0"/>
                <w:kern w:val="0"/>
                <w:sz w:val="18"/>
                <w:szCs w:val="21"/>
              </w:rPr>
            </w:pPr>
            <w:r>
              <w:rPr>
                <w:rFonts w:hint="eastAsia" w:ascii="仿宋" w:hAnsi="仿宋" w:eastAsia="仿宋"/>
                <w:b/>
                <w:snapToGrid w:val="0"/>
                <w:kern w:val="0"/>
                <w:sz w:val="18"/>
                <w:szCs w:val="21"/>
              </w:rPr>
              <w:t>预算金额</w:t>
            </w:r>
          </w:p>
        </w:tc>
        <w:tc>
          <w:tcPr>
            <w:tcW w:w="877" w:type="pct"/>
            <w:shd w:val="clear" w:color="auto" w:fill="D8D8D8" w:themeFill="background1" w:themeFillShade="D9"/>
            <w:vAlign w:val="center"/>
          </w:tcPr>
          <w:p w14:paraId="3923C5E0">
            <w:pPr>
              <w:adjustRightInd w:val="0"/>
              <w:snapToGrid w:val="0"/>
              <w:spacing w:after="0" w:line="408" w:lineRule="auto"/>
              <w:jc w:val="center"/>
              <w:rPr>
                <w:rFonts w:hint="eastAsia" w:ascii="仿宋" w:hAnsi="仿宋" w:eastAsia="仿宋"/>
                <w:b/>
                <w:snapToGrid w:val="0"/>
                <w:kern w:val="0"/>
                <w:sz w:val="18"/>
                <w:szCs w:val="21"/>
              </w:rPr>
            </w:pPr>
            <w:r>
              <w:rPr>
                <w:rFonts w:hint="eastAsia" w:ascii="仿宋" w:hAnsi="仿宋" w:eastAsia="仿宋"/>
                <w:b/>
                <w:snapToGrid w:val="0"/>
                <w:kern w:val="0"/>
                <w:sz w:val="18"/>
                <w:szCs w:val="21"/>
              </w:rPr>
              <w:t>实际收到金额</w:t>
            </w:r>
          </w:p>
        </w:tc>
        <w:tc>
          <w:tcPr>
            <w:tcW w:w="1335" w:type="pct"/>
            <w:shd w:val="clear" w:color="auto" w:fill="D8D8D8" w:themeFill="background1" w:themeFillShade="D9"/>
            <w:vAlign w:val="center"/>
          </w:tcPr>
          <w:p w14:paraId="7C1A51F6">
            <w:pPr>
              <w:adjustRightInd w:val="0"/>
              <w:snapToGrid w:val="0"/>
              <w:spacing w:after="0" w:line="408" w:lineRule="auto"/>
              <w:jc w:val="center"/>
              <w:rPr>
                <w:rFonts w:hint="eastAsia" w:ascii="仿宋" w:hAnsi="仿宋" w:eastAsia="仿宋"/>
                <w:b/>
                <w:snapToGrid w:val="0"/>
                <w:kern w:val="0"/>
                <w:sz w:val="18"/>
                <w:szCs w:val="21"/>
              </w:rPr>
            </w:pPr>
            <w:r>
              <w:rPr>
                <w:rFonts w:hint="eastAsia" w:ascii="仿宋" w:hAnsi="仿宋" w:eastAsia="仿宋"/>
                <w:b/>
                <w:snapToGrid w:val="0"/>
                <w:kern w:val="0"/>
                <w:sz w:val="18"/>
                <w:szCs w:val="21"/>
              </w:rPr>
              <w:t>资金来源</w:t>
            </w:r>
          </w:p>
        </w:tc>
      </w:tr>
      <w:tr w14:paraId="0A443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16" w:type="pct"/>
            <w:shd w:val="clear" w:color="auto" w:fill="auto"/>
            <w:vAlign w:val="center"/>
          </w:tcPr>
          <w:p w14:paraId="304DF72B">
            <w:pPr>
              <w:adjustRightInd w:val="0"/>
              <w:snapToGrid w:val="0"/>
              <w:spacing w:after="0" w:line="408" w:lineRule="auto"/>
              <w:jc w:val="center"/>
              <w:rPr>
                <w:rFonts w:hint="eastAsia" w:ascii="仿宋" w:hAnsi="仿宋" w:eastAsia="仿宋"/>
                <w:snapToGrid w:val="0"/>
                <w:kern w:val="0"/>
                <w:sz w:val="18"/>
                <w:szCs w:val="21"/>
              </w:rPr>
            </w:pPr>
            <w:r>
              <w:rPr>
                <w:rFonts w:hint="eastAsia" w:ascii="仿宋" w:hAnsi="仿宋" w:eastAsia="仿宋"/>
                <w:snapToGrid w:val="0"/>
                <w:kern w:val="0"/>
                <w:sz w:val="18"/>
                <w:szCs w:val="21"/>
              </w:rPr>
              <w:t>1</w:t>
            </w:r>
          </w:p>
        </w:tc>
        <w:tc>
          <w:tcPr>
            <w:tcW w:w="1365" w:type="pct"/>
            <w:shd w:val="clear" w:color="auto" w:fill="auto"/>
            <w:vAlign w:val="center"/>
          </w:tcPr>
          <w:p w14:paraId="3A100796">
            <w:pPr>
              <w:adjustRightInd w:val="0"/>
              <w:snapToGrid w:val="0"/>
              <w:spacing w:after="0" w:line="408" w:lineRule="auto"/>
              <w:jc w:val="center"/>
              <w:rPr>
                <w:rFonts w:hint="eastAsia" w:ascii="仿宋" w:hAnsi="仿宋" w:eastAsia="仿宋"/>
                <w:snapToGrid w:val="0"/>
                <w:kern w:val="0"/>
                <w:sz w:val="18"/>
                <w:szCs w:val="21"/>
              </w:rPr>
            </w:pPr>
            <w:r>
              <w:rPr>
                <w:rFonts w:hint="eastAsia" w:ascii="仿宋" w:hAnsi="仿宋" w:eastAsia="仿宋"/>
                <w:snapToGrid w:val="0"/>
                <w:kern w:val="0"/>
                <w:sz w:val="18"/>
                <w:szCs w:val="21"/>
              </w:rPr>
              <w:t>交通标志标线项目</w:t>
            </w:r>
          </w:p>
        </w:tc>
        <w:tc>
          <w:tcPr>
            <w:tcW w:w="1007" w:type="pct"/>
            <w:shd w:val="clear" w:color="auto" w:fill="auto"/>
            <w:vAlign w:val="center"/>
          </w:tcPr>
          <w:p w14:paraId="13FFCC9A">
            <w:pPr>
              <w:adjustRightInd w:val="0"/>
              <w:snapToGrid w:val="0"/>
              <w:spacing w:after="0" w:line="408" w:lineRule="auto"/>
              <w:jc w:val="center"/>
              <w:rPr>
                <w:rFonts w:hint="eastAsia" w:ascii="仿宋" w:hAnsi="仿宋" w:eastAsia="仿宋"/>
                <w:snapToGrid w:val="0"/>
                <w:kern w:val="0"/>
                <w:sz w:val="18"/>
                <w:szCs w:val="21"/>
              </w:rPr>
            </w:pPr>
            <w:r>
              <w:rPr>
                <w:rFonts w:hint="eastAsia" w:ascii="仿宋" w:hAnsi="仿宋" w:eastAsia="仿宋"/>
                <w:snapToGrid w:val="0"/>
                <w:kern w:val="0"/>
                <w:sz w:val="18"/>
                <w:szCs w:val="21"/>
              </w:rPr>
              <w:t>16.5321</w:t>
            </w:r>
          </w:p>
        </w:tc>
        <w:tc>
          <w:tcPr>
            <w:tcW w:w="877" w:type="pct"/>
            <w:shd w:val="clear" w:color="auto" w:fill="auto"/>
            <w:vAlign w:val="center"/>
          </w:tcPr>
          <w:p w14:paraId="1B1E6F3E">
            <w:pPr>
              <w:adjustRightInd w:val="0"/>
              <w:snapToGrid w:val="0"/>
              <w:spacing w:after="0" w:line="408" w:lineRule="auto"/>
              <w:jc w:val="center"/>
              <w:rPr>
                <w:rFonts w:hint="eastAsia" w:ascii="仿宋" w:hAnsi="仿宋" w:eastAsia="仿宋"/>
                <w:snapToGrid w:val="0"/>
                <w:kern w:val="0"/>
                <w:sz w:val="18"/>
                <w:szCs w:val="21"/>
              </w:rPr>
            </w:pPr>
            <w:r>
              <w:rPr>
                <w:rFonts w:hint="eastAsia" w:ascii="仿宋" w:hAnsi="仿宋" w:eastAsia="仿宋"/>
                <w:snapToGrid w:val="0"/>
                <w:kern w:val="0"/>
                <w:sz w:val="18"/>
                <w:szCs w:val="21"/>
              </w:rPr>
              <w:t>16.5321</w:t>
            </w:r>
          </w:p>
        </w:tc>
        <w:tc>
          <w:tcPr>
            <w:tcW w:w="1335" w:type="pct"/>
            <w:shd w:val="clear" w:color="auto" w:fill="auto"/>
            <w:vAlign w:val="center"/>
          </w:tcPr>
          <w:p w14:paraId="5758F1E2">
            <w:pPr>
              <w:adjustRightInd w:val="0"/>
              <w:snapToGrid w:val="0"/>
              <w:spacing w:after="0" w:line="408" w:lineRule="auto"/>
              <w:jc w:val="center"/>
              <w:rPr>
                <w:rFonts w:hint="eastAsia" w:ascii="仿宋" w:hAnsi="仿宋" w:eastAsia="仿宋"/>
                <w:snapToGrid w:val="0"/>
                <w:kern w:val="0"/>
                <w:sz w:val="18"/>
                <w:szCs w:val="21"/>
              </w:rPr>
            </w:pPr>
            <w:r>
              <w:rPr>
                <w:rFonts w:hint="eastAsia" w:ascii="仿宋" w:hAnsi="仿宋" w:eastAsia="仿宋"/>
                <w:snapToGrid w:val="0"/>
                <w:kern w:val="0"/>
                <w:sz w:val="18"/>
                <w:szCs w:val="21"/>
              </w:rPr>
              <w:t>财政拨款</w:t>
            </w:r>
          </w:p>
        </w:tc>
      </w:tr>
      <w:tr w14:paraId="5C532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16" w:type="pct"/>
            <w:shd w:val="clear" w:color="auto" w:fill="auto"/>
            <w:vAlign w:val="center"/>
          </w:tcPr>
          <w:p w14:paraId="772FAD91">
            <w:pPr>
              <w:adjustRightInd w:val="0"/>
              <w:snapToGrid w:val="0"/>
              <w:spacing w:after="0" w:line="408" w:lineRule="auto"/>
              <w:jc w:val="center"/>
              <w:rPr>
                <w:rFonts w:hint="eastAsia" w:ascii="仿宋" w:hAnsi="仿宋" w:eastAsia="仿宋"/>
                <w:snapToGrid w:val="0"/>
                <w:kern w:val="0"/>
                <w:sz w:val="18"/>
                <w:szCs w:val="21"/>
              </w:rPr>
            </w:pPr>
            <w:r>
              <w:rPr>
                <w:rFonts w:hint="eastAsia" w:ascii="仿宋" w:hAnsi="仿宋" w:eastAsia="仿宋"/>
                <w:snapToGrid w:val="0"/>
                <w:kern w:val="0"/>
                <w:sz w:val="18"/>
                <w:szCs w:val="21"/>
              </w:rPr>
              <w:t>2</w:t>
            </w:r>
          </w:p>
        </w:tc>
        <w:tc>
          <w:tcPr>
            <w:tcW w:w="1365" w:type="pct"/>
            <w:shd w:val="clear" w:color="auto" w:fill="auto"/>
            <w:vAlign w:val="center"/>
          </w:tcPr>
          <w:p w14:paraId="7B2283D7">
            <w:pPr>
              <w:adjustRightInd w:val="0"/>
              <w:snapToGrid w:val="0"/>
              <w:spacing w:after="0" w:line="408" w:lineRule="auto"/>
              <w:jc w:val="center"/>
              <w:rPr>
                <w:rFonts w:hint="eastAsia" w:ascii="仿宋" w:hAnsi="仿宋" w:eastAsia="仿宋"/>
                <w:snapToGrid w:val="0"/>
                <w:kern w:val="0"/>
                <w:sz w:val="18"/>
                <w:szCs w:val="21"/>
              </w:rPr>
            </w:pPr>
            <w:r>
              <w:rPr>
                <w:rFonts w:hint="eastAsia" w:ascii="仿宋" w:hAnsi="仿宋" w:eastAsia="仿宋"/>
                <w:snapToGrid w:val="0"/>
                <w:kern w:val="0"/>
                <w:sz w:val="18"/>
                <w:szCs w:val="21"/>
              </w:rPr>
              <w:t>道路交通安全应隐患整治项目</w:t>
            </w:r>
          </w:p>
        </w:tc>
        <w:tc>
          <w:tcPr>
            <w:tcW w:w="1007" w:type="pct"/>
            <w:shd w:val="clear" w:color="auto" w:fill="auto"/>
            <w:vAlign w:val="center"/>
          </w:tcPr>
          <w:p w14:paraId="7628CC28">
            <w:pPr>
              <w:adjustRightInd w:val="0"/>
              <w:snapToGrid w:val="0"/>
              <w:spacing w:after="0" w:line="408" w:lineRule="auto"/>
              <w:jc w:val="center"/>
              <w:rPr>
                <w:rFonts w:hint="eastAsia" w:ascii="仿宋" w:hAnsi="仿宋" w:eastAsia="仿宋"/>
                <w:snapToGrid w:val="0"/>
                <w:kern w:val="0"/>
                <w:sz w:val="18"/>
                <w:szCs w:val="21"/>
              </w:rPr>
            </w:pPr>
            <w:r>
              <w:rPr>
                <w:rFonts w:hint="eastAsia" w:ascii="仿宋" w:hAnsi="仿宋" w:eastAsia="仿宋"/>
                <w:snapToGrid w:val="0"/>
                <w:kern w:val="0"/>
                <w:sz w:val="18"/>
                <w:szCs w:val="21"/>
              </w:rPr>
              <w:t>150</w:t>
            </w:r>
          </w:p>
        </w:tc>
        <w:tc>
          <w:tcPr>
            <w:tcW w:w="877" w:type="pct"/>
            <w:shd w:val="clear" w:color="auto" w:fill="auto"/>
            <w:vAlign w:val="center"/>
          </w:tcPr>
          <w:p w14:paraId="59C5B857">
            <w:pPr>
              <w:adjustRightInd w:val="0"/>
              <w:snapToGrid w:val="0"/>
              <w:spacing w:after="0" w:line="408" w:lineRule="auto"/>
              <w:jc w:val="center"/>
              <w:rPr>
                <w:rFonts w:hint="eastAsia" w:ascii="仿宋" w:hAnsi="仿宋" w:eastAsia="仿宋"/>
                <w:snapToGrid w:val="0"/>
                <w:kern w:val="0"/>
                <w:sz w:val="18"/>
                <w:szCs w:val="21"/>
              </w:rPr>
            </w:pPr>
            <w:r>
              <w:rPr>
                <w:rFonts w:hint="eastAsia" w:ascii="仿宋" w:hAnsi="仿宋" w:eastAsia="仿宋"/>
                <w:snapToGrid w:val="0"/>
                <w:kern w:val="0"/>
                <w:sz w:val="18"/>
                <w:szCs w:val="21"/>
              </w:rPr>
              <w:t>147.35</w:t>
            </w:r>
          </w:p>
        </w:tc>
        <w:tc>
          <w:tcPr>
            <w:tcW w:w="1335" w:type="pct"/>
            <w:shd w:val="clear" w:color="auto" w:fill="auto"/>
            <w:vAlign w:val="center"/>
          </w:tcPr>
          <w:p w14:paraId="162D20E1">
            <w:pPr>
              <w:adjustRightInd w:val="0"/>
              <w:snapToGrid w:val="0"/>
              <w:spacing w:after="0" w:line="408" w:lineRule="auto"/>
              <w:jc w:val="center"/>
              <w:rPr>
                <w:rFonts w:hint="eastAsia" w:ascii="仿宋" w:hAnsi="仿宋" w:eastAsia="仿宋"/>
                <w:snapToGrid w:val="0"/>
                <w:kern w:val="0"/>
                <w:sz w:val="18"/>
                <w:szCs w:val="21"/>
              </w:rPr>
            </w:pPr>
            <w:r>
              <w:rPr>
                <w:rFonts w:hint="eastAsia" w:ascii="仿宋" w:hAnsi="仿宋" w:eastAsia="仿宋"/>
                <w:snapToGrid w:val="0"/>
                <w:kern w:val="0"/>
                <w:sz w:val="18"/>
                <w:szCs w:val="21"/>
              </w:rPr>
              <w:t>财政拨款</w:t>
            </w:r>
          </w:p>
        </w:tc>
      </w:tr>
      <w:tr w14:paraId="52F19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781" w:type="pct"/>
            <w:gridSpan w:val="2"/>
            <w:shd w:val="clear" w:color="auto" w:fill="auto"/>
            <w:vAlign w:val="center"/>
          </w:tcPr>
          <w:p w14:paraId="579DBBCA">
            <w:pPr>
              <w:adjustRightInd w:val="0"/>
              <w:snapToGrid w:val="0"/>
              <w:spacing w:after="0" w:line="408" w:lineRule="auto"/>
              <w:jc w:val="center"/>
              <w:rPr>
                <w:rFonts w:hint="eastAsia" w:ascii="仿宋" w:hAnsi="仿宋" w:eastAsia="仿宋"/>
                <w:snapToGrid w:val="0"/>
                <w:kern w:val="0"/>
                <w:sz w:val="18"/>
                <w:szCs w:val="21"/>
              </w:rPr>
            </w:pPr>
            <w:r>
              <w:rPr>
                <w:rFonts w:hint="eastAsia" w:ascii="仿宋" w:hAnsi="仿宋" w:eastAsia="仿宋"/>
                <w:snapToGrid w:val="0"/>
                <w:kern w:val="0"/>
                <w:sz w:val="18"/>
                <w:szCs w:val="21"/>
              </w:rPr>
              <w:t>合计</w:t>
            </w:r>
          </w:p>
        </w:tc>
        <w:tc>
          <w:tcPr>
            <w:tcW w:w="1007" w:type="pct"/>
            <w:shd w:val="clear" w:color="auto" w:fill="auto"/>
            <w:vAlign w:val="center"/>
          </w:tcPr>
          <w:p w14:paraId="593A12B7">
            <w:pPr>
              <w:adjustRightInd w:val="0"/>
              <w:snapToGrid w:val="0"/>
              <w:spacing w:after="0" w:line="408" w:lineRule="auto"/>
              <w:jc w:val="center"/>
              <w:rPr>
                <w:rFonts w:hint="eastAsia" w:ascii="仿宋" w:hAnsi="仿宋" w:eastAsia="仿宋"/>
                <w:snapToGrid w:val="0"/>
                <w:kern w:val="0"/>
                <w:sz w:val="18"/>
                <w:szCs w:val="21"/>
              </w:rPr>
            </w:pPr>
            <w:r>
              <w:rPr>
                <w:rFonts w:hint="eastAsia" w:ascii="仿宋" w:hAnsi="仿宋" w:eastAsia="仿宋"/>
                <w:snapToGrid w:val="0"/>
                <w:kern w:val="0"/>
                <w:sz w:val="18"/>
                <w:szCs w:val="21"/>
              </w:rPr>
              <w:t>166.53</w:t>
            </w:r>
          </w:p>
        </w:tc>
        <w:tc>
          <w:tcPr>
            <w:tcW w:w="877" w:type="pct"/>
            <w:shd w:val="clear" w:color="auto" w:fill="auto"/>
            <w:vAlign w:val="center"/>
          </w:tcPr>
          <w:p w14:paraId="570C5DD7">
            <w:pPr>
              <w:adjustRightInd w:val="0"/>
              <w:snapToGrid w:val="0"/>
              <w:spacing w:after="0" w:line="408" w:lineRule="auto"/>
              <w:jc w:val="center"/>
              <w:rPr>
                <w:rFonts w:hint="eastAsia" w:ascii="仿宋" w:hAnsi="仿宋" w:eastAsia="仿宋"/>
                <w:snapToGrid w:val="0"/>
                <w:kern w:val="0"/>
                <w:sz w:val="18"/>
                <w:szCs w:val="21"/>
              </w:rPr>
            </w:pPr>
            <w:r>
              <w:rPr>
                <w:rFonts w:hint="eastAsia" w:ascii="仿宋" w:hAnsi="仿宋" w:eastAsia="仿宋"/>
                <w:snapToGrid w:val="0"/>
                <w:kern w:val="0"/>
                <w:sz w:val="18"/>
                <w:szCs w:val="21"/>
              </w:rPr>
              <w:t>163.8821</w:t>
            </w:r>
          </w:p>
        </w:tc>
        <w:tc>
          <w:tcPr>
            <w:tcW w:w="1335" w:type="pct"/>
            <w:shd w:val="clear" w:color="auto" w:fill="auto"/>
            <w:vAlign w:val="center"/>
          </w:tcPr>
          <w:p w14:paraId="23ECEA9F">
            <w:pPr>
              <w:adjustRightInd w:val="0"/>
              <w:snapToGrid w:val="0"/>
              <w:spacing w:after="0" w:line="408" w:lineRule="auto"/>
              <w:jc w:val="center"/>
              <w:rPr>
                <w:rFonts w:hint="eastAsia" w:ascii="仿宋" w:hAnsi="仿宋" w:eastAsia="仿宋"/>
                <w:snapToGrid w:val="0"/>
                <w:kern w:val="0"/>
                <w:sz w:val="18"/>
                <w:szCs w:val="21"/>
              </w:rPr>
            </w:pPr>
            <w:r>
              <w:rPr>
                <w:rFonts w:hint="eastAsia" w:ascii="仿宋" w:hAnsi="仿宋" w:eastAsia="仿宋"/>
                <w:snapToGrid w:val="0"/>
                <w:kern w:val="0"/>
                <w:sz w:val="18"/>
                <w:szCs w:val="21"/>
              </w:rPr>
              <w:t>-</w:t>
            </w:r>
          </w:p>
        </w:tc>
      </w:tr>
    </w:tbl>
    <w:p w14:paraId="4BFCAB31">
      <w:pPr>
        <w:spacing w:after="0" w:line="408" w:lineRule="auto"/>
        <w:jc w:val="center"/>
        <w:rPr>
          <w:rFonts w:hint="eastAsia" w:ascii="仿宋" w:hAnsi="仿宋" w:eastAsia="仿宋"/>
          <w:sz w:val="28"/>
          <w:szCs w:val="21"/>
          <w:highlight w:val="yellow"/>
        </w:rPr>
      </w:pPr>
      <w:r>
        <w:rPr>
          <w:rFonts w:hint="eastAsia" w:ascii="仿宋" w:hAnsi="仿宋" w:eastAsia="仿宋"/>
          <w:b/>
          <w:bCs/>
          <w:sz w:val="28"/>
          <w:szCs w:val="21"/>
        </w:rPr>
        <w:t>表2  道路交通安全专项资金支出明细表</w:t>
      </w:r>
    </w:p>
    <w:p w14:paraId="37404E9E">
      <w:pPr>
        <w:spacing w:after="0" w:line="240" w:lineRule="auto"/>
        <w:ind w:firstLine="560"/>
        <w:jc w:val="right"/>
        <w:rPr>
          <w:rFonts w:hint="eastAsia" w:ascii="仿宋" w:hAnsi="仿宋" w:eastAsia="仿宋"/>
          <w:b/>
          <w:bCs/>
          <w:sz w:val="24"/>
          <w:szCs w:val="21"/>
        </w:rPr>
      </w:pPr>
      <w:r>
        <w:rPr>
          <w:rFonts w:hint="eastAsia" w:ascii="仿宋" w:hAnsi="仿宋" w:eastAsia="仿宋"/>
          <w:b/>
          <w:bCs/>
          <w:sz w:val="24"/>
          <w:szCs w:val="21"/>
        </w:rPr>
        <w:t>单位：万元</w:t>
      </w:r>
    </w:p>
    <w:tbl>
      <w:tblPr>
        <w:tblStyle w:val="9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0"/>
        <w:gridCol w:w="1983"/>
        <w:gridCol w:w="2692"/>
        <w:gridCol w:w="1728"/>
        <w:gridCol w:w="1315"/>
        <w:gridCol w:w="1316"/>
      </w:tblGrid>
      <w:tr w14:paraId="5AED2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blHeader/>
          <w:jc w:val="center"/>
        </w:trPr>
        <w:tc>
          <w:tcPr>
            <w:tcW w:w="416" w:type="pct"/>
            <w:shd w:val="clear" w:color="auto" w:fill="D8D8D8" w:themeFill="background1" w:themeFillShade="D9"/>
            <w:vAlign w:val="center"/>
          </w:tcPr>
          <w:p w14:paraId="3914D8BE">
            <w:pPr>
              <w:adjustRightInd w:val="0"/>
              <w:snapToGrid w:val="0"/>
              <w:spacing w:after="0" w:line="408" w:lineRule="auto"/>
              <w:jc w:val="center"/>
              <w:rPr>
                <w:rFonts w:hint="eastAsia" w:ascii="仿宋" w:hAnsi="仿宋" w:eastAsia="仿宋"/>
                <w:b/>
                <w:snapToGrid w:val="0"/>
                <w:kern w:val="0"/>
                <w:sz w:val="18"/>
                <w:szCs w:val="21"/>
              </w:rPr>
            </w:pPr>
            <w:r>
              <w:rPr>
                <w:rFonts w:hint="eastAsia" w:ascii="仿宋" w:hAnsi="仿宋" w:eastAsia="仿宋"/>
                <w:b/>
                <w:snapToGrid w:val="0"/>
                <w:kern w:val="0"/>
                <w:sz w:val="18"/>
                <w:szCs w:val="21"/>
              </w:rPr>
              <w:t>序号</w:t>
            </w:r>
          </w:p>
        </w:tc>
        <w:tc>
          <w:tcPr>
            <w:tcW w:w="1006" w:type="pct"/>
            <w:shd w:val="clear" w:color="auto" w:fill="D8D8D8" w:themeFill="background1" w:themeFillShade="D9"/>
            <w:vAlign w:val="center"/>
          </w:tcPr>
          <w:p w14:paraId="6FCBC697">
            <w:pPr>
              <w:adjustRightInd w:val="0"/>
              <w:snapToGrid w:val="0"/>
              <w:spacing w:after="0" w:line="408" w:lineRule="auto"/>
              <w:jc w:val="center"/>
              <w:rPr>
                <w:rFonts w:hint="eastAsia" w:ascii="仿宋" w:hAnsi="仿宋" w:eastAsia="仿宋"/>
                <w:b/>
                <w:snapToGrid w:val="0"/>
                <w:kern w:val="0"/>
                <w:sz w:val="18"/>
                <w:szCs w:val="21"/>
              </w:rPr>
            </w:pPr>
            <w:r>
              <w:rPr>
                <w:rFonts w:hint="eastAsia" w:ascii="仿宋" w:hAnsi="仿宋" w:eastAsia="仿宋"/>
                <w:b/>
                <w:snapToGrid w:val="0"/>
                <w:kern w:val="0"/>
                <w:sz w:val="18"/>
                <w:szCs w:val="21"/>
              </w:rPr>
              <w:t>项目</w:t>
            </w:r>
          </w:p>
        </w:tc>
        <w:tc>
          <w:tcPr>
            <w:tcW w:w="1366" w:type="pct"/>
            <w:shd w:val="clear" w:color="auto" w:fill="D8D8D8" w:themeFill="background1" w:themeFillShade="D9"/>
            <w:vAlign w:val="center"/>
          </w:tcPr>
          <w:p w14:paraId="778E7953">
            <w:pPr>
              <w:adjustRightInd w:val="0"/>
              <w:snapToGrid w:val="0"/>
              <w:spacing w:after="0" w:line="408" w:lineRule="auto"/>
              <w:jc w:val="center"/>
              <w:rPr>
                <w:rFonts w:hint="eastAsia" w:ascii="仿宋" w:hAnsi="仿宋" w:eastAsia="仿宋"/>
                <w:b/>
                <w:snapToGrid w:val="0"/>
                <w:kern w:val="0"/>
                <w:sz w:val="18"/>
                <w:szCs w:val="21"/>
              </w:rPr>
            </w:pPr>
            <w:r>
              <w:rPr>
                <w:rFonts w:hint="eastAsia" w:ascii="仿宋" w:hAnsi="仿宋" w:eastAsia="仿宋"/>
                <w:b/>
                <w:snapToGrid w:val="0"/>
                <w:kern w:val="0"/>
                <w:sz w:val="18"/>
                <w:szCs w:val="21"/>
              </w:rPr>
              <w:t>2023年支出</w:t>
            </w:r>
          </w:p>
        </w:tc>
        <w:tc>
          <w:tcPr>
            <w:tcW w:w="877" w:type="pct"/>
            <w:shd w:val="clear" w:color="auto" w:fill="D8D8D8" w:themeFill="background1" w:themeFillShade="D9"/>
            <w:vAlign w:val="center"/>
          </w:tcPr>
          <w:p w14:paraId="2FD169B4">
            <w:pPr>
              <w:adjustRightInd w:val="0"/>
              <w:snapToGrid w:val="0"/>
              <w:spacing w:after="0" w:line="408" w:lineRule="auto"/>
              <w:jc w:val="center"/>
              <w:rPr>
                <w:rFonts w:hint="eastAsia" w:ascii="仿宋" w:hAnsi="仿宋" w:eastAsia="仿宋"/>
                <w:b/>
                <w:snapToGrid w:val="0"/>
                <w:kern w:val="0"/>
                <w:sz w:val="18"/>
                <w:szCs w:val="21"/>
              </w:rPr>
            </w:pPr>
            <w:r>
              <w:rPr>
                <w:rFonts w:hint="eastAsia" w:ascii="仿宋" w:hAnsi="仿宋" w:eastAsia="仿宋"/>
                <w:b/>
                <w:snapToGrid w:val="0"/>
                <w:kern w:val="0"/>
                <w:sz w:val="18"/>
                <w:szCs w:val="21"/>
              </w:rPr>
              <w:t>2024年支出</w:t>
            </w:r>
          </w:p>
        </w:tc>
        <w:tc>
          <w:tcPr>
            <w:tcW w:w="667" w:type="pct"/>
            <w:shd w:val="clear" w:color="auto" w:fill="D8D8D8" w:themeFill="background1" w:themeFillShade="D9"/>
            <w:vAlign w:val="center"/>
          </w:tcPr>
          <w:p w14:paraId="7DBBBA0D">
            <w:pPr>
              <w:adjustRightInd w:val="0"/>
              <w:snapToGrid w:val="0"/>
              <w:spacing w:after="0" w:line="408" w:lineRule="auto"/>
              <w:jc w:val="center"/>
              <w:rPr>
                <w:rFonts w:hint="eastAsia" w:ascii="仿宋" w:hAnsi="仿宋" w:eastAsia="仿宋"/>
                <w:b/>
                <w:snapToGrid w:val="0"/>
                <w:kern w:val="0"/>
                <w:sz w:val="18"/>
                <w:szCs w:val="21"/>
              </w:rPr>
            </w:pPr>
            <w:r>
              <w:rPr>
                <w:rFonts w:hint="eastAsia" w:ascii="仿宋" w:hAnsi="仿宋" w:eastAsia="仿宋"/>
                <w:b/>
                <w:snapToGrid w:val="0"/>
                <w:kern w:val="0"/>
                <w:sz w:val="18"/>
                <w:szCs w:val="21"/>
              </w:rPr>
              <w:t>合计</w:t>
            </w:r>
          </w:p>
        </w:tc>
        <w:tc>
          <w:tcPr>
            <w:tcW w:w="668" w:type="pct"/>
            <w:shd w:val="clear" w:color="auto" w:fill="D8D8D8" w:themeFill="background1" w:themeFillShade="D9"/>
            <w:vAlign w:val="center"/>
          </w:tcPr>
          <w:p w14:paraId="0FD0DE4F">
            <w:pPr>
              <w:adjustRightInd w:val="0"/>
              <w:snapToGrid w:val="0"/>
              <w:spacing w:after="0" w:line="408" w:lineRule="auto"/>
              <w:jc w:val="center"/>
              <w:rPr>
                <w:rFonts w:hint="eastAsia" w:ascii="仿宋" w:hAnsi="仿宋" w:eastAsia="仿宋"/>
                <w:b/>
                <w:snapToGrid w:val="0"/>
                <w:kern w:val="0"/>
                <w:sz w:val="18"/>
                <w:szCs w:val="21"/>
              </w:rPr>
            </w:pPr>
            <w:r>
              <w:rPr>
                <w:rFonts w:hint="eastAsia" w:ascii="仿宋" w:hAnsi="仿宋" w:eastAsia="仿宋"/>
                <w:b/>
                <w:snapToGrid w:val="0"/>
                <w:kern w:val="0"/>
                <w:sz w:val="18"/>
                <w:szCs w:val="21"/>
              </w:rPr>
              <w:t>23年预算执行率</w:t>
            </w:r>
          </w:p>
        </w:tc>
      </w:tr>
      <w:tr w14:paraId="3FFF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416" w:type="pct"/>
            <w:shd w:val="clear" w:color="auto" w:fill="auto"/>
            <w:vAlign w:val="center"/>
          </w:tcPr>
          <w:p w14:paraId="5804E407">
            <w:pPr>
              <w:adjustRightInd w:val="0"/>
              <w:snapToGrid w:val="0"/>
              <w:spacing w:after="0" w:line="408" w:lineRule="auto"/>
              <w:jc w:val="center"/>
              <w:rPr>
                <w:rFonts w:hint="eastAsia" w:ascii="仿宋" w:hAnsi="仿宋" w:eastAsia="仿宋"/>
                <w:snapToGrid w:val="0"/>
                <w:kern w:val="0"/>
                <w:sz w:val="18"/>
                <w:szCs w:val="21"/>
              </w:rPr>
            </w:pPr>
            <w:r>
              <w:rPr>
                <w:rFonts w:hint="eastAsia" w:ascii="仿宋" w:hAnsi="仿宋" w:eastAsia="仿宋"/>
                <w:snapToGrid w:val="0"/>
                <w:kern w:val="0"/>
                <w:sz w:val="18"/>
                <w:szCs w:val="21"/>
              </w:rPr>
              <w:t>1</w:t>
            </w:r>
          </w:p>
        </w:tc>
        <w:tc>
          <w:tcPr>
            <w:tcW w:w="1006" w:type="pct"/>
            <w:shd w:val="clear" w:color="auto" w:fill="auto"/>
            <w:vAlign w:val="center"/>
          </w:tcPr>
          <w:p w14:paraId="4EACC698">
            <w:pPr>
              <w:adjustRightInd w:val="0"/>
              <w:snapToGrid w:val="0"/>
              <w:spacing w:after="0" w:line="408" w:lineRule="auto"/>
              <w:jc w:val="center"/>
              <w:rPr>
                <w:rFonts w:hint="eastAsia" w:ascii="仿宋" w:hAnsi="仿宋" w:eastAsia="仿宋"/>
                <w:snapToGrid w:val="0"/>
                <w:kern w:val="0"/>
                <w:sz w:val="18"/>
                <w:szCs w:val="21"/>
              </w:rPr>
            </w:pPr>
            <w:r>
              <w:rPr>
                <w:rFonts w:hint="eastAsia" w:ascii="仿宋" w:hAnsi="仿宋" w:eastAsia="仿宋"/>
                <w:snapToGrid w:val="0"/>
                <w:kern w:val="0"/>
                <w:sz w:val="18"/>
                <w:szCs w:val="21"/>
              </w:rPr>
              <w:t>交通标志标线项目</w:t>
            </w:r>
          </w:p>
        </w:tc>
        <w:tc>
          <w:tcPr>
            <w:tcW w:w="1366" w:type="pct"/>
            <w:shd w:val="clear" w:color="auto" w:fill="auto"/>
            <w:vAlign w:val="center"/>
          </w:tcPr>
          <w:p w14:paraId="554B9E31">
            <w:pPr>
              <w:adjustRightInd w:val="0"/>
              <w:snapToGrid w:val="0"/>
              <w:spacing w:after="0" w:line="408" w:lineRule="auto"/>
              <w:jc w:val="center"/>
              <w:rPr>
                <w:rFonts w:hint="eastAsia" w:ascii="仿宋" w:hAnsi="仿宋" w:eastAsia="仿宋"/>
                <w:snapToGrid w:val="0"/>
                <w:kern w:val="0"/>
                <w:sz w:val="18"/>
                <w:szCs w:val="21"/>
              </w:rPr>
            </w:pPr>
            <w:r>
              <w:rPr>
                <w:rFonts w:hint="eastAsia" w:ascii="仿宋" w:hAnsi="仿宋" w:eastAsia="仿宋"/>
                <w:snapToGrid w:val="0"/>
                <w:kern w:val="0"/>
                <w:sz w:val="18"/>
                <w:szCs w:val="21"/>
              </w:rPr>
              <w:t>16.5321</w:t>
            </w:r>
          </w:p>
        </w:tc>
        <w:tc>
          <w:tcPr>
            <w:tcW w:w="877" w:type="pct"/>
            <w:shd w:val="clear" w:color="auto" w:fill="auto"/>
            <w:vAlign w:val="center"/>
          </w:tcPr>
          <w:p w14:paraId="5100A9FF">
            <w:pPr>
              <w:adjustRightInd w:val="0"/>
              <w:snapToGrid w:val="0"/>
              <w:spacing w:after="0" w:line="408" w:lineRule="auto"/>
              <w:jc w:val="center"/>
              <w:rPr>
                <w:rFonts w:hint="eastAsia" w:ascii="仿宋" w:hAnsi="仿宋" w:eastAsia="仿宋"/>
                <w:snapToGrid w:val="0"/>
                <w:kern w:val="0"/>
                <w:sz w:val="18"/>
                <w:szCs w:val="21"/>
              </w:rPr>
            </w:pPr>
            <w:r>
              <w:rPr>
                <w:rFonts w:hint="eastAsia" w:ascii="仿宋" w:hAnsi="仿宋" w:eastAsia="仿宋"/>
                <w:snapToGrid w:val="0"/>
                <w:kern w:val="0"/>
                <w:sz w:val="18"/>
                <w:szCs w:val="21"/>
              </w:rPr>
              <w:t>-</w:t>
            </w:r>
          </w:p>
        </w:tc>
        <w:tc>
          <w:tcPr>
            <w:tcW w:w="667" w:type="pct"/>
            <w:shd w:val="clear" w:color="auto" w:fill="auto"/>
            <w:vAlign w:val="center"/>
          </w:tcPr>
          <w:p w14:paraId="230C5088">
            <w:pPr>
              <w:adjustRightInd w:val="0"/>
              <w:snapToGrid w:val="0"/>
              <w:spacing w:after="0" w:line="408" w:lineRule="auto"/>
              <w:jc w:val="center"/>
              <w:rPr>
                <w:rFonts w:hint="eastAsia" w:ascii="仿宋" w:hAnsi="仿宋" w:eastAsia="仿宋"/>
                <w:snapToGrid w:val="0"/>
                <w:kern w:val="0"/>
                <w:sz w:val="18"/>
                <w:szCs w:val="21"/>
              </w:rPr>
            </w:pPr>
            <w:r>
              <w:rPr>
                <w:rFonts w:hint="eastAsia" w:ascii="仿宋" w:hAnsi="仿宋" w:eastAsia="仿宋"/>
                <w:snapToGrid w:val="0"/>
                <w:kern w:val="0"/>
                <w:sz w:val="18"/>
                <w:szCs w:val="21"/>
              </w:rPr>
              <w:t>16.5321</w:t>
            </w:r>
          </w:p>
        </w:tc>
        <w:tc>
          <w:tcPr>
            <w:tcW w:w="668" w:type="pct"/>
            <w:shd w:val="clear" w:color="auto" w:fill="auto"/>
            <w:vAlign w:val="center"/>
          </w:tcPr>
          <w:p w14:paraId="21868091">
            <w:pPr>
              <w:adjustRightInd w:val="0"/>
              <w:snapToGrid w:val="0"/>
              <w:spacing w:after="0" w:line="408" w:lineRule="auto"/>
              <w:jc w:val="center"/>
              <w:rPr>
                <w:rFonts w:hint="eastAsia" w:ascii="仿宋" w:hAnsi="仿宋" w:eastAsia="仿宋"/>
                <w:snapToGrid w:val="0"/>
                <w:kern w:val="0"/>
                <w:sz w:val="18"/>
                <w:szCs w:val="21"/>
              </w:rPr>
            </w:pPr>
            <w:r>
              <w:rPr>
                <w:rFonts w:hint="eastAsia" w:ascii="仿宋" w:hAnsi="仿宋" w:eastAsia="仿宋"/>
                <w:snapToGrid w:val="0"/>
                <w:kern w:val="0"/>
                <w:sz w:val="18"/>
                <w:szCs w:val="21"/>
              </w:rPr>
              <w:t>100%</w:t>
            </w:r>
          </w:p>
        </w:tc>
      </w:tr>
      <w:tr w14:paraId="328ED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416" w:type="pct"/>
            <w:shd w:val="clear" w:color="auto" w:fill="auto"/>
            <w:vAlign w:val="center"/>
          </w:tcPr>
          <w:p w14:paraId="35DD137B">
            <w:pPr>
              <w:adjustRightInd w:val="0"/>
              <w:snapToGrid w:val="0"/>
              <w:spacing w:after="0" w:line="408" w:lineRule="auto"/>
              <w:jc w:val="center"/>
              <w:rPr>
                <w:rFonts w:hint="eastAsia" w:ascii="仿宋" w:hAnsi="仿宋" w:eastAsia="仿宋"/>
                <w:snapToGrid w:val="0"/>
                <w:kern w:val="0"/>
                <w:sz w:val="18"/>
                <w:szCs w:val="21"/>
              </w:rPr>
            </w:pPr>
            <w:r>
              <w:rPr>
                <w:rFonts w:hint="eastAsia" w:ascii="仿宋" w:hAnsi="仿宋" w:eastAsia="仿宋"/>
                <w:snapToGrid w:val="0"/>
                <w:kern w:val="0"/>
                <w:sz w:val="18"/>
                <w:szCs w:val="21"/>
              </w:rPr>
              <w:t>2</w:t>
            </w:r>
          </w:p>
        </w:tc>
        <w:tc>
          <w:tcPr>
            <w:tcW w:w="1006" w:type="pct"/>
            <w:shd w:val="clear" w:color="auto" w:fill="auto"/>
            <w:vAlign w:val="center"/>
          </w:tcPr>
          <w:p w14:paraId="7D4134FD">
            <w:pPr>
              <w:adjustRightInd w:val="0"/>
              <w:snapToGrid w:val="0"/>
              <w:spacing w:after="0" w:line="408" w:lineRule="auto"/>
              <w:jc w:val="center"/>
              <w:rPr>
                <w:rFonts w:hint="eastAsia" w:ascii="仿宋" w:hAnsi="仿宋" w:eastAsia="仿宋"/>
                <w:snapToGrid w:val="0"/>
                <w:kern w:val="0"/>
                <w:sz w:val="18"/>
                <w:szCs w:val="21"/>
              </w:rPr>
            </w:pPr>
            <w:r>
              <w:rPr>
                <w:rFonts w:hint="eastAsia" w:ascii="仿宋" w:hAnsi="仿宋" w:eastAsia="仿宋"/>
                <w:snapToGrid w:val="0"/>
                <w:kern w:val="0"/>
                <w:sz w:val="18"/>
                <w:szCs w:val="21"/>
              </w:rPr>
              <w:t>道路交通安全应隐患整治项目</w:t>
            </w:r>
          </w:p>
        </w:tc>
        <w:tc>
          <w:tcPr>
            <w:tcW w:w="1366" w:type="pct"/>
            <w:shd w:val="clear" w:color="auto" w:fill="auto"/>
            <w:vAlign w:val="center"/>
          </w:tcPr>
          <w:p w14:paraId="499ACFE9">
            <w:pPr>
              <w:adjustRightInd w:val="0"/>
              <w:snapToGrid w:val="0"/>
              <w:spacing w:after="0" w:line="408" w:lineRule="auto"/>
              <w:jc w:val="center"/>
              <w:rPr>
                <w:rFonts w:hint="eastAsia" w:ascii="仿宋" w:hAnsi="仿宋" w:eastAsia="仿宋"/>
                <w:snapToGrid w:val="0"/>
                <w:kern w:val="0"/>
                <w:sz w:val="18"/>
                <w:szCs w:val="21"/>
              </w:rPr>
            </w:pPr>
            <w:r>
              <w:rPr>
                <w:rFonts w:hint="eastAsia" w:ascii="仿宋" w:hAnsi="仿宋" w:eastAsia="仿宋"/>
                <w:snapToGrid w:val="0"/>
                <w:kern w:val="0"/>
                <w:sz w:val="18"/>
                <w:szCs w:val="21"/>
              </w:rPr>
              <w:t>41.17</w:t>
            </w:r>
          </w:p>
        </w:tc>
        <w:tc>
          <w:tcPr>
            <w:tcW w:w="877" w:type="pct"/>
            <w:shd w:val="clear" w:color="auto" w:fill="auto"/>
            <w:vAlign w:val="center"/>
          </w:tcPr>
          <w:p w14:paraId="5326FD2D">
            <w:pPr>
              <w:adjustRightInd w:val="0"/>
              <w:snapToGrid w:val="0"/>
              <w:spacing w:after="0" w:line="408" w:lineRule="auto"/>
              <w:jc w:val="center"/>
              <w:rPr>
                <w:rFonts w:hint="eastAsia" w:ascii="仿宋" w:hAnsi="仿宋" w:eastAsia="仿宋"/>
                <w:snapToGrid w:val="0"/>
                <w:kern w:val="0"/>
                <w:sz w:val="18"/>
                <w:szCs w:val="21"/>
              </w:rPr>
            </w:pPr>
            <w:r>
              <w:rPr>
                <w:rFonts w:hint="eastAsia" w:ascii="仿宋" w:hAnsi="仿宋" w:eastAsia="仿宋"/>
                <w:snapToGrid w:val="0"/>
                <w:kern w:val="0"/>
                <w:sz w:val="18"/>
                <w:szCs w:val="21"/>
              </w:rPr>
              <w:t>106.01</w:t>
            </w:r>
          </w:p>
        </w:tc>
        <w:tc>
          <w:tcPr>
            <w:tcW w:w="667" w:type="pct"/>
            <w:shd w:val="clear" w:color="auto" w:fill="auto"/>
            <w:vAlign w:val="center"/>
          </w:tcPr>
          <w:p w14:paraId="4DD3BEB5">
            <w:pPr>
              <w:adjustRightInd w:val="0"/>
              <w:snapToGrid w:val="0"/>
              <w:spacing w:after="0" w:line="408" w:lineRule="auto"/>
              <w:jc w:val="center"/>
              <w:rPr>
                <w:rFonts w:hint="eastAsia" w:ascii="仿宋" w:hAnsi="仿宋" w:eastAsia="仿宋"/>
                <w:snapToGrid w:val="0"/>
                <w:kern w:val="0"/>
                <w:sz w:val="18"/>
                <w:szCs w:val="21"/>
              </w:rPr>
            </w:pPr>
            <w:r>
              <w:rPr>
                <w:rFonts w:hint="eastAsia" w:ascii="仿宋" w:hAnsi="仿宋" w:eastAsia="仿宋"/>
                <w:snapToGrid w:val="0"/>
                <w:kern w:val="0"/>
                <w:sz w:val="18"/>
                <w:szCs w:val="21"/>
              </w:rPr>
              <w:t>147.18</w:t>
            </w:r>
          </w:p>
        </w:tc>
        <w:tc>
          <w:tcPr>
            <w:tcW w:w="668" w:type="pct"/>
            <w:shd w:val="clear" w:color="auto" w:fill="auto"/>
            <w:vAlign w:val="center"/>
          </w:tcPr>
          <w:p w14:paraId="19CB97E5">
            <w:pPr>
              <w:adjustRightInd w:val="0"/>
              <w:snapToGrid w:val="0"/>
              <w:spacing w:after="0" w:line="408" w:lineRule="auto"/>
              <w:jc w:val="center"/>
              <w:rPr>
                <w:rFonts w:hint="eastAsia" w:ascii="仿宋" w:hAnsi="仿宋" w:eastAsia="仿宋"/>
                <w:snapToGrid w:val="0"/>
                <w:kern w:val="0"/>
                <w:sz w:val="18"/>
                <w:szCs w:val="21"/>
              </w:rPr>
            </w:pPr>
            <w:r>
              <w:rPr>
                <w:rFonts w:hint="eastAsia" w:ascii="仿宋" w:hAnsi="仿宋" w:eastAsia="仿宋"/>
                <w:snapToGrid w:val="0"/>
                <w:kern w:val="0"/>
                <w:sz w:val="18"/>
                <w:szCs w:val="21"/>
              </w:rPr>
              <w:t>27.94%</w:t>
            </w:r>
          </w:p>
        </w:tc>
      </w:tr>
      <w:tr w14:paraId="152ED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1422" w:type="pct"/>
            <w:gridSpan w:val="2"/>
            <w:shd w:val="clear" w:color="auto" w:fill="auto"/>
            <w:vAlign w:val="center"/>
          </w:tcPr>
          <w:p w14:paraId="2D24C06F">
            <w:pPr>
              <w:adjustRightInd w:val="0"/>
              <w:snapToGrid w:val="0"/>
              <w:spacing w:after="0" w:line="408" w:lineRule="auto"/>
              <w:jc w:val="center"/>
              <w:rPr>
                <w:rFonts w:hint="eastAsia" w:ascii="仿宋" w:hAnsi="仿宋" w:eastAsia="仿宋"/>
                <w:snapToGrid w:val="0"/>
                <w:kern w:val="0"/>
                <w:sz w:val="18"/>
                <w:szCs w:val="21"/>
              </w:rPr>
            </w:pPr>
            <w:r>
              <w:rPr>
                <w:rFonts w:hint="eastAsia" w:ascii="仿宋" w:hAnsi="仿宋" w:eastAsia="仿宋"/>
                <w:snapToGrid w:val="0"/>
                <w:kern w:val="0"/>
                <w:sz w:val="18"/>
                <w:szCs w:val="21"/>
              </w:rPr>
              <w:t>合计</w:t>
            </w:r>
          </w:p>
        </w:tc>
        <w:tc>
          <w:tcPr>
            <w:tcW w:w="1366" w:type="pct"/>
            <w:shd w:val="clear" w:color="auto" w:fill="auto"/>
            <w:vAlign w:val="center"/>
          </w:tcPr>
          <w:p w14:paraId="75F72EF9">
            <w:pPr>
              <w:adjustRightInd w:val="0"/>
              <w:snapToGrid w:val="0"/>
              <w:spacing w:after="0" w:line="408" w:lineRule="auto"/>
              <w:jc w:val="center"/>
              <w:rPr>
                <w:rFonts w:hint="eastAsia" w:ascii="仿宋" w:hAnsi="仿宋" w:eastAsia="仿宋"/>
                <w:snapToGrid w:val="0"/>
                <w:kern w:val="0"/>
                <w:sz w:val="18"/>
                <w:szCs w:val="21"/>
              </w:rPr>
            </w:pPr>
            <w:r>
              <w:rPr>
                <w:rFonts w:hint="eastAsia" w:ascii="仿宋" w:hAnsi="仿宋" w:eastAsia="仿宋"/>
                <w:snapToGrid w:val="0"/>
                <w:kern w:val="0"/>
                <w:sz w:val="18"/>
                <w:szCs w:val="21"/>
              </w:rPr>
              <w:t>57.7021</w:t>
            </w:r>
          </w:p>
        </w:tc>
        <w:tc>
          <w:tcPr>
            <w:tcW w:w="877" w:type="pct"/>
            <w:shd w:val="clear" w:color="auto" w:fill="auto"/>
            <w:vAlign w:val="center"/>
          </w:tcPr>
          <w:p w14:paraId="26D1FFB1">
            <w:pPr>
              <w:adjustRightInd w:val="0"/>
              <w:snapToGrid w:val="0"/>
              <w:spacing w:after="0" w:line="408" w:lineRule="auto"/>
              <w:jc w:val="center"/>
              <w:rPr>
                <w:rFonts w:hint="eastAsia" w:ascii="仿宋" w:hAnsi="仿宋" w:eastAsia="仿宋"/>
                <w:snapToGrid w:val="0"/>
                <w:kern w:val="0"/>
                <w:sz w:val="18"/>
                <w:szCs w:val="21"/>
              </w:rPr>
            </w:pPr>
            <w:r>
              <w:rPr>
                <w:rFonts w:hint="eastAsia" w:ascii="仿宋" w:hAnsi="仿宋" w:eastAsia="仿宋"/>
                <w:snapToGrid w:val="0"/>
                <w:kern w:val="0"/>
                <w:sz w:val="18"/>
                <w:szCs w:val="21"/>
              </w:rPr>
              <w:t>106.01</w:t>
            </w:r>
          </w:p>
        </w:tc>
        <w:tc>
          <w:tcPr>
            <w:tcW w:w="667" w:type="pct"/>
            <w:shd w:val="clear" w:color="auto" w:fill="auto"/>
            <w:vAlign w:val="center"/>
          </w:tcPr>
          <w:p w14:paraId="68079D99">
            <w:pPr>
              <w:adjustRightInd w:val="0"/>
              <w:snapToGrid w:val="0"/>
              <w:spacing w:after="0" w:line="408" w:lineRule="auto"/>
              <w:jc w:val="center"/>
              <w:rPr>
                <w:rFonts w:hint="eastAsia" w:ascii="仿宋" w:hAnsi="仿宋" w:eastAsia="仿宋"/>
                <w:snapToGrid w:val="0"/>
                <w:kern w:val="0"/>
                <w:sz w:val="18"/>
                <w:szCs w:val="21"/>
              </w:rPr>
            </w:pPr>
            <w:r>
              <w:rPr>
                <w:rFonts w:hint="eastAsia" w:ascii="仿宋" w:hAnsi="仿宋" w:eastAsia="仿宋"/>
                <w:snapToGrid w:val="0"/>
                <w:kern w:val="0"/>
                <w:sz w:val="18"/>
                <w:szCs w:val="21"/>
              </w:rPr>
              <w:t>163.7121</w:t>
            </w:r>
          </w:p>
        </w:tc>
        <w:tc>
          <w:tcPr>
            <w:tcW w:w="668" w:type="pct"/>
            <w:shd w:val="clear" w:color="auto" w:fill="auto"/>
            <w:vAlign w:val="center"/>
          </w:tcPr>
          <w:p w14:paraId="614AFF3E">
            <w:pPr>
              <w:adjustRightInd w:val="0"/>
              <w:snapToGrid w:val="0"/>
              <w:spacing w:after="0" w:line="408" w:lineRule="auto"/>
              <w:jc w:val="center"/>
              <w:rPr>
                <w:rFonts w:hint="eastAsia" w:ascii="仿宋" w:hAnsi="仿宋" w:eastAsia="仿宋"/>
                <w:snapToGrid w:val="0"/>
                <w:kern w:val="0"/>
                <w:sz w:val="18"/>
                <w:szCs w:val="21"/>
              </w:rPr>
            </w:pPr>
            <w:r>
              <w:rPr>
                <w:rFonts w:hint="eastAsia" w:ascii="仿宋" w:hAnsi="仿宋" w:eastAsia="仿宋"/>
                <w:snapToGrid w:val="0"/>
                <w:kern w:val="0"/>
                <w:sz w:val="18"/>
                <w:szCs w:val="21"/>
              </w:rPr>
              <w:t>35.21%</w:t>
            </w:r>
          </w:p>
        </w:tc>
      </w:tr>
    </w:tbl>
    <w:p w14:paraId="53572B8B">
      <w:pPr>
        <w:spacing w:after="0" w:line="408" w:lineRule="auto"/>
        <w:ind w:firstLine="562" w:firstLineChars="200"/>
        <w:jc w:val="both"/>
        <w:outlineLvl w:val="1"/>
        <w:rPr>
          <w:rFonts w:hint="eastAsia" w:ascii="仿宋" w:hAnsi="仿宋" w:eastAsia="仿宋"/>
          <w:b/>
          <w:sz w:val="28"/>
          <w:szCs w:val="21"/>
        </w:rPr>
      </w:pPr>
      <w:bookmarkStart w:id="13" w:name="_Toc182865203"/>
      <w:r>
        <w:rPr>
          <w:rFonts w:hint="eastAsia" w:ascii="仿宋" w:hAnsi="仿宋" w:eastAsia="仿宋"/>
          <w:b/>
          <w:sz w:val="28"/>
          <w:szCs w:val="21"/>
        </w:rPr>
        <w:t>（二）实施组织及管理情况</w:t>
      </w:r>
      <w:bookmarkEnd w:id="13"/>
    </w:p>
    <w:p w14:paraId="662FBD4A">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泉州市公安局交通警察支队洛江大队在</w:t>
      </w:r>
      <w:bookmarkStart w:id="14" w:name="_Hlk181613904"/>
      <w:r>
        <w:rPr>
          <w:rFonts w:hint="eastAsia" w:ascii="仿宋" w:hAnsi="仿宋" w:eastAsia="仿宋"/>
          <w:sz w:val="28"/>
          <w:szCs w:val="21"/>
        </w:rPr>
        <w:t>道路交通安全专项资金项目</w:t>
      </w:r>
      <w:bookmarkEnd w:id="14"/>
      <w:r>
        <w:rPr>
          <w:rFonts w:hint="eastAsia" w:ascii="仿宋" w:hAnsi="仿宋" w:eastAsia="仿宋"/>
          <w:sz w:val="28"/>
          <w:szCs w:val="21"/>
        </w:rPr>
        <w:t>中符合政府采购需求管理办法，符合招投标等相关的规定，符合国家财经法规和财务管理制度以及有关专项资金管理办法的规定。道路交通安全专项资金项目中资金的使用符合《</w:t>
      </w:r>
      <w:r>
        <w:rPr>
          <w:rFonts w:hint="eastAsia" w:ascii="仿宋" w:hAnsi="仿宋" w:eastAsia="仿宋"/>
          <w:sz w:val="28"/>
          <w:szCs w:val="21"/>
          <w:lang w:eastAsia="zh-CN"/>
        </w:rPr>
        <w:t>福建省人民政府办公厅</w:t>
      </w:r>
      <w:r>
        <w:rPr>
          <w:rFonts w:hint="eastAsia" w:ascii="仿宋" w:hAnsi="仿宋" w:eastAsia="仿宋"/>
          <w:sz w:val="28"/>
          <w:szCs w:val="21"/>
        </w:rPr>
        <w:t>关于印发</w:t>
      </w:r>
      <w:r>
        <w:rPr>
          <w:rFonts w:hint="eastAsia" w:ascii="仿宋" w:hAnsi="仿宋" w:eastAsia="仿宋"/>
          <w:sz w:val="28"/>
          <w:szCs w:val="21"/>
          <w:lang w:val="en-US" w:eastAsia="zh-CN"/>
        </w:rPr>
        <w:t>&lt;</w:t>
      </w:r>
      <w:r>
        <w:rPr>
          <w:rFonts w:hint="eastAsia" w:ascii="仿宋" w:hAnsi="仿宋" w:eastAsia="仿宋"/>
          <w:sz w:val="28"/>
          <w:szCs w:val="21"/>
        </w:rPr>
        <w:t>福建省道路交通安全综合整治三年专项行动实施方案（2019-2021年）</w:t>
      </w:r>
      <w:r>
        <w:rPr>
          <w:rFonts w:hint="eastAsia" w:ascii="仿宋" w:hAnsi="仿宋" w:eastAsia="仿宋"/>
          <w:sz w:val="28"/>
          <w:szCs w:val="21"/>
          <w:lang w:val="en-US" w:eastAsia="zh-CN"/>
        </w:rPr>
        <w:t>&gt;</w:t>
      </w:r>
      <w:r>
        <w:rPr>
          <w:rFonts w:hint="eastAsia" w:ascii="仿宋" w:hAnsi="仿宋" w:eastAsia="仿宋"/>
          <w:sz w:val="28"/>
          <w:szCs w:val="21"/>
        </w:rPr>
        <w:t>的通知》（闽政办〔2019〕24号）的文件规定，具备合法、合规、完整的财务和业务管理制度。</w:t>
      </w:r>
    </w:p>
    <w:p w14:paraId="4CEAF2C8">
      <w:pPr>
        <w:spacing w:after="0" w:line="408" w:lineRule="auto"/>
        <w:ind w:firstLine="562" w:firstLineChars="200"/>
        <w:jc w:val="both"/>
        <w:outlineLvl w:val="1"/>
        <w:rPr>
          <w:rFonts w:hint="eastAsia" w:ascii="仿宋" w:hAnsi="仿宋" w:eastAsia="仿宋"/>
          <w:b/>
          <w:sz w:val="28"/>
          <w:szCs w:val="21"/>
        </w:rPr>
      </w:pPr>
      <w:bookmarkStart w:id="15" w:name="_Toc182865204"/>
      <w:r>
        <w:rPr>
          <w:rFonts w:hint="eastAsia" w:ascii="仿宋" w:hAnsi="仿宋" w:eastAsia="仿宋"/>
          <w:b/>
          <w:sz w:val="28"/>
          <w:szCs w:val="21"/>
        </w:rPr>
        <w:t>（三）总体目标</w:t>
      </w:r>
      <w:bookmarkEnd w:id="15"/>
    </w:p>
    <w:p w14:paraId="0019D319">
      <w:pPr>
        <w:spacing w:after="0" w:line="408" w:lineRule="auto"/>
        <w:ind w:firstLine="560" w:firstLineChars="200"/>
        <w:jc w:val="both"/>
        <w:rPr>
          <w:rFonts w:hint="eastAsia" w:ascii="仿宋" w:hAnsi="仿宋" w:eastAsia="仿宋"/>
          <w:sz w:val="28"/>
          <w:szCs w:val="21"/>
          <w:highlight w:val="yellow"/>
        </w:rPr>
      </w:pPr>
      <w:r>
        <w:rPr>
          <w:rFonts w:hint="eastAsia" w:ascii="仿宋" w:hAnsi="仿宋" w:eastAsia="仿宋"/>
          <w:sz w:val="28"/>
          <w:szCs w:val="21"/>
        </w:rPr>
        <w:t>为认真贯彻《</w:t>
      </w:r>
      <w:r>
        <w:rPr>
          <w:rFonts w:hint="eastAsia" w:ascii="仿宋" w:hAnsi="仿宋" w:eastAsia="仿宋"/>
          <w:sz w:val="28"/>
          <w:szCs w:val="21"/>
          <w:lang w:eastAsia="zh-CN"/>
        </w:rPr>
        <w:t>福建省人民政府办公厅</w:t>
      </w:r>
      <w:r>
        <w:rPr>
          <w:rFonts w:hint="eastAsia" w:ascii="仿宋" w:hAnsi="仿宋" w:eastAsia="仿宋"/>
          <w:sz w:val="28"/>
          <w:szCs w:val="21"/>
        </w:rPr>
        <w:t>关于印发</w:t>
      </w:r>
      <w:r>
        <w:rPr>
          <w:rFonts w:hint="eastAsia" w:ascii="仿宋" w:hAnsi="仿宋" w:eastAsia="仿宋"/>
          <w:sz w:val="28"/>
          <w:szCs w:val="21"/>
          <w:lang w:val="en-US" w:eastAsia="zh-CN"/>
        </w:rPr>
        <w:t>&lt;</w:t>
      </w:r>
      <w:r>
        <w:rPr>
          <w:rFonts w:hint="eastAsia" w:ascii="仿宋" w:hAnsi="仿宋" w:eastAsia="仿宋"/>
          <w:sz w:val="28"/>
          <w:szCs w:val="21"/>
        </w:rPr>
        <w:t>福建省道路交通安全综合整治三年专项行动实施方案（2019-2021年）</w:t>
      </w:r>
      <w:r>
        <w:rPr>
          <w:rFonts w:hint="eastAsia" w:ascii="仿宋" w:hAnsi="仿宋" w:eastAsia="仿宋"/>
          <w:sz w:val="28"/>
          <w:szCs w:val="21"/>
          <w:lang w:val="en-US" w:eastAsia="zh-CN"/>
        </w:rPr>
        <w:t>&gt;</w:t>
      </w:r>
      <w:r>
        <w:rPr>
          <w:rFonts w:hint="eastAsia" w:ascii="仿宋" w:hAnsi="仿宋" w:eastAsia="仿宋"/>
          <w:sz w:val="28"/>
          <w:szCs w:val="21"/>
        </w:rPr>
        <w:t>的通知》（闽政办〔2019〕24号）的文件指示，做好道路交通安全建设工作。2023年</w:t>
      </w:r>
      <w:r>
        <w:rPr>
          <w:rFonts w:hint="eastAsia" w:ascii="仿宋" w:hAnsi="仿宋" w:eastAsia="仿宋"/>
          <w:sz w:val="28"/>
          <w:szCs w:val="21"/>
          <w:lang w:eastAsia="zh-CN"/>
        </w:rPr>
        <w:t>泉州市</w:t>
      </w:r>
      <w:r>
        <w:rPr>
          <w:rFonts w:hint="eastAsia" w:ascii="仿宋" w:hAnsi="仿宋" w:eastAsia="仿宋"/>
          <w:sz w:val="28"/>
          <w:szCs w:val="21"/>
        </w:rPr>
        <w:t>洛江区道路交通安全专项资金绩效指标如下表3所示：</w:t>
      </w:r>
    </w:p>
    <w:p w14:paraId="06E27D0B">
      <w:pPr>
        <w:spacing w:after="0" w:line="408" w:lineRule="auto"/>
        <w:jc w:val="center"/>
        <w:rPr>
          <w:rFonts w:hint="eastAsia" w:ascii="仿宋" w:hAnsi="仿宋" w:eastAsia="仿宋"/>
          <w:b/>
          <w:bCs/>
          <w:sz w:val="24"/>
          <w:szCs w:val="20"/>
        </w:rPr>
      </w:pPr>
      <w:r>
        <w:rPr>
          <w:rFonts w:hint="eastAsia" w:ascii="仿宋" w:hAnsi="仿宋" w:eastAsia="仿宋"/>
          <w:b/>
          <w:bCs/>
          <w:sz w:val="24"/>
          <w:szCs w:val="20"/>
        </w:rPr>
        <w:t>表3  2023年</w:t>
      </w:r>
      <w:r>
        <w:rPr>
          <w:rFonts w:hint="eastAsia" w:ascii="仿宋" w:hAnsi="仿宋" w:eastAsia="仿宋"/>
          <w:b/>
          <w:bCs/>
          <w:sz w:val="24"/>
          <w:szCs w:val="20"/>
          <w:lang w:eastAsia="zh-CN"/>
        </w:rPr>
        <w:t>泉州市</w:t>
      </w:r>
      <w:r>
        <w:rPr>
          <w:rFonts w:hint="eastAsia" w:ascii="仿宋" w:hAnsi="仿宋" w:eastAsia="仿宋"/>
          <w:b/>
          <w:bCs/>
          <w:sz w:val="24"/>
          <w:szCs w:val="20"/>
        </w:rPr>
        <w:t>洛江区道路交通安全专项资金绩效目标表</w:t>
      </w:r>
    </w:p>
    <w:tbl>
      <w:tblPr>
        <w:tblStyle w:val="9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596"/>
        <w:gridCol w:w="2627"/>
        <w:gridCol w:w="3141"/>
        <w:gridCol w:w="1662"/>
      </w:tblGrid>
      <w:tr w14:paraId="5F036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420" w:type="pct"/>
            <w:shd w:val="clear" w:color="auto" w:fill="D8D8D8" w:themeFill="background1" w:themeFillShade="D9"/>
            <w:vAlign w:val="center"/>
          </w:tcPr>
          <w:p w14:paraId="16518712">
            <w:pPr>
              <w:adjustRightInd w:val="0"/>
              <w:snapToGrid w:val="0"/>
              <w:spacing w:after="0" w:line="408" w:lineRule="auto"/>
              <w:jc w:val="center"/>
              <w:rPr>
                <w:rFonts w:hint="eastAsia" w:ascii="仿宋" w:hAnsi="仿宋" w:eastAsia="仿宋"/>
                <w:b/>
                <w:snapToGrid w:val="0"/>
                <w:kern w:val="0"/>
                <w:sz w:val="18"/>
                <w:szCs w:val="21"/>
              </w:rPr>
            </w:pPr>
            <w:r>
              <w:rPr>
                <w:rFonts w:hint="eastAsia" w:ascii="仿宋" w:hAnsi="仿宋" w:eastAsia="仿宋"/>
                <w:b/>
                <w:snapToGrid w:val="0"/>
                <w:kern w:val="0"/>
                <w:sz w:val="18"/>
                <w:szCs w:val="21"/>
              </w:rPr>
              <w:t>序号</w:t>
            </w:r>
          </w:p>
        </w:tc>
        <w:tc>
          <w:tcPr>
            <w:tcW w:w="810" w:type="pct"/>
            <w:shd w:val="clear" w:color="auto" w:fill="D8D8D8" w:themeFill="background1" w:themeFillShade="D9"/>
            <w:vAlign w:val="center"/>
          </w:tcPr>
          <w:p w14:paraId="50B77E20">
            <w:pPr>
              <w:adjustRightInd w:val="0"/>
              <w:snapToGrid w:val="0"/>
              <w:spacing w:after="0" w:line="408" w:lineRule="auto"/>
              <w:jc w:val="center"/>
              <w:rPr>
                <w:rFonts w:hint="eastAsia" w:ascii="仿宋" w:hAnsi="仿宋" w:eastAsia="仿宋"/>
                <w:b/>
                <w:snapToGrid w:val="0"/>
                <w:kern w:val="0"/>
                <w:sz w:val="18"/>
                <w:szCs w:val="21"/>
              </w:rPr>
            </w:pPr>
            <w:r>
              <w:rPr>
                <w:rFonts w:hint="eastAsia" w:ascii="仿宋" w:hAnsi="仿宋" w:eastAsia="仿宋"/>
                <w:b/>
                <w:snapToGrid w:val="0"/>
                <w:kern w:val="0"/>
                <w:sz w:val="18"/>
                <w:szCs w:val="21"/>
              </w:rPr>
              <w:t>一级指标</w:t>
            </w:r>
          </w:p>
        </w:tc>
        <w:tc>
          <w:tcPr>
            <w:tcW w:w="1333" w:type="pct"/>
            <w:shd w:val="clear" w:color="auto" w:fill="D8D8D8" w:themeFill="background1" w:themeFillShade="D9"/>
            <w:vAlign w:val="center"/>
          </w:tcPr>
          <w:p w14:paraId="2A6E817F">
            <w:pPr>
              <w:adjustRightInd w:val="0"/>
              <w:snapToGrid w:val="0"/>
              <w:spacing w:after="0" w:line="408" w:lineRule="auto"/>
              <w:jc w:val="center"/>
              <w:rPr>
                <w:rFonts w:hint="eastAsia" w:ascii="仿宋" w:hAnsi="仿宋" w:eastAsia="仿宋"/>
                <w:b/>
                <w:snapToGrid w:val="0"/>
                <w:kern w:val="0"/>
                <w:sz w:val="18"/>
                <w:szCs w:val="21"/>
              </w:rPr>
            </w:pPr>
            <w:r>
              <w:rPr>
                <w:rFonts w:hint="eastAsia" w:ascii="仿宋" w:hAnsi="仿宋" w:eastAsia="仿宋"/>
                <w:b/>
                <w:snapToGrid w:val="0"/>
                <w:kern w:val="0"/>
                <w:sz w:val="18"/>
                <w:szCs w:val="21"/>
              </w:rPr>
              <w:t>二级指标</w:t>
            </w:r>
          </w:p>
        </w:tc>
        <w:tc>
          <w:tcPr>
            <w:tcW w:w="1594" w:type="pct"/>
            <w:shd w:val="clear" w:color="auto" w:fill="D8D8D8" w:themeFill="background1" w:themeFillShade="D9"/>
            <w:vAlign w:val="center"/>
          </w:tcPr>
          <w:p w14:paraId="6C6A9FE1">
            <w:pPr>
              <w:adjustRightInd w:val="0"/>
              <w:snapToGrid w:val="0"/>
              <w:spacing w:after="0" w:line="408" w:lineRule="auto"/>
              <w:jc w:val="center"/>
              <w:rPr>
                <w:rFonts w:hint="eastAsia" w:ascii="仿宋" w:hAnsi="仿宋" w:eastAsia="仿宋"/>
                <w:b/>
                <w:snapToGrid w:val="0"/>
                <w:kern w:val="0"/>
                <w:sz w:val="18"/>
                <w:szCs w:val="21"/>
              </w:rPr>
            </w:pPr>
            <w:r>
              <w:rPr>
                <w:rFonts w:hint="eastAsia" w:ascii="仿宋" w:hAnsi="仿宋" w:eastAsia="仿宋"/>
                <w:b/>
                <w:snapToGrid w:val="0"/>
                <w:kern w:val="0"/>
                <w:sz w:val="18"/>
                <w:szCs w:val="21"/>
              </w:rPr>
              <w:t>三级指标</w:t>
            </w:r>
          </w:p>
        </w:tc>
        <w:tc>
          <w:tcPr>
            <w:tcW w:w="843" w:type="pct"/>
            <w:shd w:val="clear" w:color="auto" w:fill="D8D8D8" w:themeFill="background1" w:themeFillShade="D9"/>
            <w:vAlign w:val="center"/>
          </w:tcPr>
          <w:p w14:paraId="51846429">
            <w:pPr>
              <w:adjustRightInd w:val="0"/>
              <w:snapToGrid w:val="0"/>
              <w:spacing w:after="0" w:line="408" w:lineRule="auto"/>
              <w:jc w:val="center"/>
              <w:rPr>
                <w:rFonts w:hint="eastAsia" w:ascii="仿宋" w:hAnsi="仿宋" w:eastAsia="仿宋"/>
                <w:b/>
                <w:snapToGrid w:val="0"/>
                <w:kern w:val="0"/>
                <w:sz w:val="18"/>
                <w:szCs w:val="21"/>
              </w:rPr>
            </w:pPr>
            <w:r>
              <w:rPr>
                <w:rFonts w:hint="eastAsia" w:ascii="仿宋" w:hAnsi="仿宋" w:eastAsia="仿宋"/>
                <w:b/>
                <w:snapToGrid w:val="0"/>
                <w:kern w:val="0"/>
                <w:sz w:val="18"/>
                <w:szCs w:val="21"/>
              </w:rPr>
              <w:t>目标值</w:t>
            </w:r>
          </w:p>
        </w:tc>
      </w:tr>
      <w:tr w14:paraId="55B60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420" w:type="pct"/>
            <w:shd w:val="clear" w:color="auto" w:fill="auto"/>
            <w:vAlign w:val="center"/>
          </w:tcPr>
          <w:p w14:paraId="20D12235">
            <w:pPr>
              <w:adjustRightInd w:val="0"/>
              <w:snapToGrid w:val="0"/>
              <w:spacing w:after="0" w:line="408" w:lineRule="auto"/>
              <w:jc w:val="center"/>
              <w:rPr>
                <w:rFonts w:hint="eastAsia" w:ascii="仿宋" w:hAnsi="仿宋" w:eastAsia="仿宋"/>
                <w:snapToGrid w:val="0"/>
                <w:kern w:val="0"/>
                <w:sz w:val="18"/>
                <w:szCs w:val="21"/>
              </w:rPr>
            </w:pPr>
            <w:r>
              <w:rPr>
                <w:rFonts w:hint="eastAsia" w:ascii="仿宋" w:hAnsi="仿宋" w:eastAsia="仿宋"/>
                <w:snapToGrid w:val="0"/>
                <w:kern w:val="0"/>
                <w:sz w:val="18"/>
                <w:szCs w:val="21"/>
              </w:rPr>
              <w:t>1</w:t>
            </w:r>
          </w:p>
        </w:tc>
        <w:tc>
          <w:tcPr>
            <w:tcW w:w="810" w:type="pct"/>
            <w:shd w:val="clear" w:color="auto" w:fill="auto"/>
            <w:vAlign w:val="center"/>
          </w:tcPr>
          <w:p w14:paraId="121A168F">
            <w:pPr>
              <w:adjustRightInd w:val="0"/>
              <w:snapToGrid w:val="0"/>
              <w:spacing w:after="0" w:line="408" w:lineRule="auto"/>
              <w:jc w:val="center"/>
              <w:rPr>
                <w:rFonts w:hint="eastAsia" w:ascii="仿宋" w:hAnsi="仿宋" w:eastAsia="仿宋"/>
                <w:snapToGrid w:val="0"/>
                <w:kern w:val="0"/>
                <w:sz w:val="18"/>
                <w:szCs w:val="21"/>
              </w:rPr>
            </w:pPr>
            <w:r>
              <w:rPr>
                <w:rFonts w:hint="eastAsia" w:ascii="仿宋" w:hAnsi="仿宋" w:eastAsia="仿宋"/>
                <w:snapToGrid w:val="0"/>
                <w:kern w:val="0"/>
                <w:sz w:val="18"/>
                <w:szCs w:val="21"/>
              </w:rPr>
              <w:t>成本指标</w:t>
            </w:r>
          </w:p>
        </w:tc>
        <w:tc>
          <w:tcPr>
            <w:tcW w:w="1333" w:type="pct"/>
            <w:shd w:val="clear" w:color="auto" w:fill="auto"/>
            <w:vAlign w:val="center"/>
          </w:tcPr>
          <w:p w14:paraId="0DE0347C">
            <w:pPr>
              <w:adjustRightInd w:val="0"/>
              <w:snapToGrid w:val="0"/>
              <w:spacing w:after="0" w:line="408" w:lineRule="auto"/>
              <w:jc w:val="center"/>
              <w:rPr>
                <w:rFonts w:hint="eastAsia" w:ascii="仿宋" w:hAnsi="仿宋" w:eastAsia="仿宋"/>
                <w:snapToGrid w:val="0"/>
                <w:kern w:val="0"/>
                <w:sz w:val="18"/>
                <w:szCs w:val="21"/>
              </w:rPr>
            </w:pPr>
            <w:r>
              <w:rPr>
                <w:rFonts w:hint="eastAsia" w:ascii="仿宋" w:hAnsi="仿宋" w:eastAsia="仿宋"/>
                <w:snapToGrid w:val="0"/>
                <w:kern w:val="0"/>
                <w:sz w:val="18"/>
                <w:szCs w:val="21"/>
              </w:rPr>
              <w:t>经济成本指标</w:t>
            </w:r>
          </w:p>
        </w:tc>
        <w:tc>
          <w:tcPr>
            <w:tcW w:w="1594" w:type="pct"/>
            <w:shd w:val="clear" w:color="auto" w:fill="auto"/>
            <w:vAlign w:val="center"/>
          </w:tcPr>
          <w:p w14:paraId="6D4A25ED">
            <w:pPr>
              <w:adjustRightInd w:val="0"/>
              <w:snapToGrid w:val="0"/>
              <w:spacing w:after="0" w:line="408" w:lineRule="auto"/>
              <w:jc w:val="center"/>
              <w:rPr>
                <w:rFonts w:hint="eastAsia" w:ascii="仿宋" w:hAnsi="仿宋" w:eastAsia="仿宋"/>
                <w:snapToGrid w:val="0"/>
                <w:kern w:val="0"/>
                <w:sz w:val="18"/>
                <w:szCs w:val="21"/>
              </w:rPr>
            </w:pPr>
            <w:r>
              <w:rPr>
                <w:rFonts w:hint="eastAsia" w:ascii="仿宋" w:hAnsi="仿宋" w:eastAsia="仿宋"/>
                <w:snapToGrid w:val="0"/>
                <w:kern w:val="0"/>
                <w:sz w:val="18"/>
                <w:szCs w:val="21"/>
              </w:rPr>
              <w:t>项目成本</w:t>
            </w:r>
          </w:p>
        </w:tc>
        <w:tc>
          <w:tcPr>
            <w:tcW w:w="843" w:type="pct"/>
            <w:shd w:val="clear" w:color="auto" w:fill="auto"/>
            <w:vAlign w:val="center"/>
          </w:tcPr>
          <w:p w14:paraId="509DEDBB">
            <w:pPr>
              <w:adjustRightInd w:val="0"/>
              <w:snapToGrid w:val="0"/>
              <w:spacing w:after="0" w:line="408" w:lineRule="auto"/>
              <w:jc w:val="center"/>
              <w:rPr>
                <w:rFonts w:hint="eastAsia" w:ascii="仿宋" w:hAnsi="仿宋" w:eastAsia="仿宋"/>
                <w:snapToGrid w:val="0"/>
                <w:kern w:val="0"/>
                <w:sz w:val="18"/>
                <w:szCs w:val="21"/>
              </w:rPr>
            </w:pPr>
            <w:r>
              <w:rPr>
                <w:rFonts w:hint="eastAsia" w:ascii="仿宋" w:hAnsi="仿宋" w:eastAsia="仿宋"/>
                <w:snapToGrid w:val="0"/>
                <w:kern w:val="0"/>
                <w:sz w:val="18"/>
                <w:szCs w:val="21"/>
              </w:rPr>
              <w:t>≤150万元</w:t>
            </w:r>
          </w:p>
        </w:tc>
      </w:tr>
      <w:tr w14:paraId="0A153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420" w:type="pct"/>
            <w:shd w:val="clear" w:color="auto" w:fill="auto"/>
            <w:vAlign w:val="center"/>
          </w:tcPr>
          <w:p w14:paraId="43A4F81E">
            <w:pPr>
              <w:adjustRightInd w:val="0"/>
              <w:snapToGrid w:val="0"/>
              <w:spacing w:after="0" w:line="408" w:lineRule="auto"/>
              <w:jc w:val="center"/>
              <w:rPr>
                <w:rFonts w:hint="eastAsia" w:ascii="仿宋" w:hAnsi="仿宋" w:eastAsia="仿宋"/>
                <w:snapToGrid w:val="0"/>
                <w:kern w:val="0"/>
                <w:sz w:val="18"/>
                <w:szCs w:val="21"/>
              </w:rPr>
            </w:pPr>
            <w:r>
              <w:rPr>
                <w:rFonts w:hint="eastAsia" w:ascii="仿宋" w:hAnsi="仿宋" w:eastAsia="仿宋"/>
                <w:snapToGrid w:val="0"/>
                <w:kern w:val="0"/>
                <w:sz w:val="18"/>
                <w:szCs w:val="21"/>
              </w:rPr>
              <w:t>2</w:t>
            </w:r>
          </w:p>
        </w:tc>
        <w:tc>
          <w:tcPr>
            <w:tcW w:w="810" w:type="pct"/>
            <w:shd w:val="clear" w:color="auto" w:fill="auto"/>
            <w:vAlign w:val="center"/>
          </w:tcPr>
          <w:p w14:paraId="2ACF5D68">
            <w:pPr>
              <w:adjustRightInd w:val="0"/>
              <w:snapToGrid w:val="0"/>
              <w:spacing w:after="0" w:line="408" w:lineRule="auto"/>
              <w:jc w:val="center"/>
              <w:rPr>
                <w:rFonts w:hint="eastAsia" w:ascii="仿宋" w:hAnsi="仿宋" w:eastAsia="仿宋"/>
                <w:snapToGrid w:val="0"/>
                <w:kern w:val="0"/>
                <w:sz w:val="18"/>
                <w:szCs w:val="21"/>
              </w:rPr>
            </w:pPr>
            <w:r>
              <w:rPr>
                <w:rFonts w:hint="eastAsia" w:ascii="仿宋" w:hAnsi="仿宋" w:eastAsia="仿宋"/>
                <w:snapToGrid w:val="0"/>
                <w:kern w:val="0"/>
                <w:sz w:val="18"/>
                <w:szCs w:val="21"/>
              </w:rPr>
              <w:t>效益指标</w:t>
            </w:r>
          </w:p>
        </w:tc>
        <w:tc>
          <w:tcPr>
            <w:tcW w:w="1333" w:type="pct"/>
            <w:shd w:val="clear" w:color="auto" w:fill="auto"/>
            <w:vAlign w:val="center"/>
          </w:tcPr>
          <w:p w14:paraId="703F35B2">
            <w:pPr>
              <w:adjustRightInd w:val="0"/>
              <w:snapToGrid w:val="0"/>
              <w:spacing w:after="0" w:line="408" w:lineRule="auto"/>
              <w:jc w:val="center"/>
              <w:rPr>
                <w:rFonts w:hint="eastAsia" w:ascii="仿宋" w:hAnsi="仿宋" w:eastAsia="仿宋"/>
                <w:snapToGrid w:val="0"/>
                <w:kern w:val="0"/>
                <w:sz w:val="18"/>
                <w:szCs w:val="21"/>
              </w:rPr>
            </w:pPr>
            <w:r>
              <w:rPr>
                <w:rFonts w:hint="eastAsia" w:ascii="仿宋" w:hAnsi="仿宋" w:eastAsia="仿宋"/>
                <w:snapToGrid w:val="0"/>
                <w:kern w:val="0"/>
                <w:sz w:val="18"/>
                <w:szCs w:val="21"/>
              </w:rPr>
              <w:t>经济效益指标</w:t>
            </w:r>
          </w:p>
        </w:tc>
        <w:tc>
          <w:tcPr>
            <w:tcW w:w="1594" w:type="pct"/>
            <w:shd w:val="clear" w:color="auto" w:fill="auto"/>
            <w:vAlign w:val="center"/>
          </w:tcPr>
          <w:p w14:paraId="43FBE27A">
            <w:pPr>
              <w:adjustRightInd w:val="0"/>
              <w:snapToGrid w:val="0"/>
              <w:spacing w:after="0" w:line="408" w:lineRule="auto"/>
              <w:jc w:val="center"/>
              <w:rPr>
                <w:rFonts w:hint="eastAsia" w:ascii="仿宋" w:hAnsi="仿宋" w:eastAsia="仿宋"/>
                <w:snapToGrid w:val="0"/>
                <w:kern w:val="0"/>
                <w:sz w:val="18"/>
                <w:szCs w:val="21"/>
              </w:rPr>
            </w:pPr>
            <w:r>
              <w:rPr>
                <w:rFonts w:hint="eastAsia" w:ascii="仿宋" w:hAnsi="仿宋" w:eastAsia="仿宋"/>
                <w:snapToGrid w:val="0"/>
                <w:kern w:val="0"/>
                <w:sz w:val="18"/>
                <w:szCs w:val="21"/>
              </w:rPr>
              <w:t>重特大交通事故发生数</w:t>
            </w:r>
          </w:p>
        </w:tc>
        <w:tc>
          <w:tcPr>
            <w:tcW w:w="843" w:type="pct"/>
            <w:shd w:val="clear" w:color="auto" w:fill="auto"/>
            <w:vAlign w:val="center"/>
          </w:tcPr>
          <w:p w14:paraId="312C430E">
            <w:pPr>
              <w:adjustRightInd w:val="0"/>
              <w:snapToGrid w:val="0"/>
              <w:spacing w:after="0" w:line="408" w:lineRule="auto"/>
              <w:jc w:val="center"/>
              <w:rPr>
                <w:rFonts w:hint="eastAsia" w:ascii="仿宋" w:hAnsi="仿宋" w:eastAsia="仿宋"/>
                <w:snapToGrid w:val="0"/>
                <w:kern w:val="0"/>
                <w:sz w:val="18"/>
                <w:szCs w:val="21"/>
              </w:rPr>
            </w:pPr>
            <w:r>
              <w:rPr>
                <w:rFonts w:hint="eastAsia" w:ascii="仿宋" w:hAnsi="仿宋" w:eastAsia="仿宋"/>
                <w:snapToGrid w:val="0"/>
                <w:kern w:val="0"/>
                <w:sz w:val="18"/>
                <w:szCs w:val="21"/>
              </w:rPr>
              <w:t>≤0起</w:t>
            </w:r>
          </w:p>
        </w:tc>
      </w:tr>
      <w:tr w14:paraId="2843E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420" w:type="pct"/>
            <w:shd w:val="clear" w:color="auto" w:fill="auto"/>
            <w:vAlign w:val="center"/>
          </w:tcPr>
          <w:p w14:paraId="6ADF1C01">
            <w:pPr>
              <w:adjustRightInd w:val="0"/>
              <w:snapToGrid w:val="0"/>
              <w:spacing w:after="0" w:line="408" w:lineRule="auto"/>
              <w:jc w:val="center"/>
              <w:rPr>
                <w:rFonts w:hint="eastAsia" w:ascii="仿宋" w:hAnsi="仿宋" w:eastAsia="仿宋"/>
                <w:snapToGrid w:val="0"/>
                <w:kern w:val="0"/>
                <w:sz w:val="18"/>
                <w:szCs w:val="21"/>
              </w:rPr>
            </w:pPr>
            <w:r>
              <w:rPr>
                <w:rFonts w:hint="eastAsia" w:ascii="仿宋" w:hAnsi="仿宋" w:eastAsia="仿宋"/>
                <w:snapToGrid w:val="0"/>
                <w:kern w:val="0"/>
                <w:sz w:val="18"/>
                <w:szCs w:val="21"/>
              </w:rPr>
              <w:t>3</w:t>
            </w:r>
          </w:p>
        </w:tc>
        <w:tc>
          <w:tcPr>
            <w:tcW w:w="810" w:type="pct"/>
            <w:shd w:val="clear" w:color="auto" w:fill="auto"/>
            <w:vAlign w:val="center"/>
          </w:tcPr>
          <w:p w14:paraId="0C42430F">
            <w:pPr>
              <w:adjustRightInd w:val="0"/>
              <w:snapToGrid w:val="0"/>
              <w:spacing w:after="0" w:line="408" w:lineRule="auto"/>
              <w:jc w:val="center"/>
              <w:rPr>
                <w:rFonts w:hint="eastAsia" w:ascii="仿宋" w:hAnsi="仿宋" w:eastAsia="仿宋"/>
                <w:snapToGrid w:val="0"/>
                <w:kern w:val="0"/>
                <w:sz w:val="18"/>
                <w:szCs w:val="21"/>
              </w:rPr>
            </w:pPr>
            <w:r>
              <w:rPr>
                <w:rFonts w:hint="eastAsia" w:ascii="仿宋" w:hAnsi="仿宋" w:eastAsia="仿宋"/>
                <w:snapToGrid w:val="0"/>
                <w:kern w:val="0"/>
                <w:sz w:val="18"/>
                <w:szCs w:val="21"/>
              </w:rPr>
              <w:t>满意度指标</w:t>
            </w:r>
          </w:p>
        </w:tc>
        <w:tc>
          <w:tcPr>
            <w:tcW w:w="1333" w:type="pct"/>
            <w:shd w:val="clear" w:color="auto" w:fill="auto"/>
            <w:vAlign w:val="center"/>
          </w:tcPr>
          <w:p w14:paraId="6513511E">
            <w:pPr>
              <w:adjustRightInd w:val="0"/>
              <w:snapToGrid w:val="0"/>
              <w:spacing w:after="0" w:line="408" w:lineRule="auto"/>
              <w:jc w:val="center"/>
              <w:rPr>
                <w:rFonts w:hint="eastAsia" w:ascii="仿宋" w:hAnsi="仿宋" w:eastAsia="仿宋"/>
                <w:snapToGrid w:val="0"/>
                <w:kern w:val="0"/>
                <w:sz w:val="18"/>
                <w:szCs w:val="21"/>
              </w:rPr>
            </w:pPr>
            <w:r>
              <w:rPr>
                <w:rFonts w:hint="eastAsia" w:ascii="仿宋" w:hAnsi="仿宋" w:eastAsia="仿宋"/>
                <w:snapToGrid w:val="0"/>
                <w:kern w:val="0"/>
                <w:sz w:val="18"/>
                <w:szCs w:val="21"/>
              </w:rPr>
              <w:t>服务对象满意度指标</w:t>
            </w:r>
          </w:p>
        </w:tc>
        <w:tc>
          <w:tcPr>
            <w:tcW w:w="1594" w:type="pct"/>
            <w:shd w:val="clear" w:color="auto" w:fill="auto"/>
            <w:vAlign w:val="center"/>
          </w:tcPr>
          <w:p w14:paraId="311BCE5B">
            <w:pPr>
              <w:adjustRightInd w:val="0"/>
              <w:snapToGrid w:val="0"/>
              <w:spacing w:after="0" w:line="408" w:lineRule="auto"/>
              <w:jc w:val="center"/>
              <w:rPr>
                <w:rFonts w:hint="eastAsia" w:ascii="仿宋" w:hAnsi="仿宋" w:eastAsia="仿宋"/>
                <w:snapToGrid w:val="0"/>
                <w:kern w:val="0"/>
                <w:sz w:val="18"/>
                <w:szCs w:val="21"/>
              </w:rPr>
            </w:pPr>
            <w:r>
              <w:rPr>
                <w:rFonts w:hint="eastAsia" w:ascii="仿宋" w:hAnsi="仿宋" w:eastAsia="仿宋"/>
                <w:snapToGrid w:val="0"/>
                <w:kern w:val="0"/>
                <w:sz w:val="18"/>
                <w:szCs w:val="21"/>
              </w:rPr>
              <w:t>交通事故处理群众满意度</w:t>
            </w:r>
          </w:p>
        </w:tc>
        <w:tc>
          <w:tcPr>
            <w:tcW w:w="843" w:type="pct"/>
            <w:shd w:val="clear" w:color="auto" w:fill="auto"/>
            <w:vAlign w:val="center"/>
          </w:tcPr>
          <w:p w14:paraId="12C84676">
            <w:pPr>
              <w:adjustRightInd w:val="0"/>
              <w:snapToGrid w:val="0"/>
              <w:spacing w:after="0" w:line="408" w:lineRule="auto"/>
              <w:jc w:val="center"/>
              <w:rPr>
                <w:rFonts w:hint="eastAsia" w:ascii="仿宋" w:hAnsi="仿宋" w:eastAsia="仿宋"/>
                <w:snapToGrid w:val="0"/>
                <w:kern w:val="0"/>
                <w:sz w:val="18"/>
                <w:szCs w:val="21"/>
              </w:rPr>
            </w:pPr>
            <w:r>
              <w:rPr>
                <w:rFonts w:hint="eastAsia" w:ascii="仿宋" w:hAnsi="仿宋" w:eastAsia="仿宋"/>
                <w:snapToGrid w:val="0"/>
                <w:kern w:val="0"/>
                <w:sz w:val="18"/>
                <w:szCs w:val="21"/>
              </w:rPr>
              <w:t>≥90百分比</w:t>
            </w:r>
          </w:p>
        </w:tc>
      </w:tr>
      <w:tr w14:paraId="15C35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420" w:type="pct"/>
            <w:shd w:val="clear" w:color="auto" w:fill="auto"/>
            <w:vAlign w:val="center"/>
          </w:tcPr>
          <w:p w14:paraId="5F07A32A">
            <w:pPr>
              <w:adjustRightInd w:val="0"/>
              <w:snapToGrid w:val="0"/>
              <w:spacing w:after="0" w:line="408" w:lineRule="auto"/>
              <w:jc w:val="center"/>
              <w:rPr>
                <w:rFonts w:hint="eastAsia" w:ascii="仿宋" w:hAnsi="仿宋" w:eastAsia="仿宋"/>
                <w:snapToGrid w:val="0"/>
                <w:kern w:val="0"/>
                <w:sz w:val="18"/>
                <w:szCs w:val="21"/>
              </w:rPr>
            </w:pPr>
            <w:r>
              <w:rPr>
                <w:rFonts w:hint="eastAsia" w:ascii="仿宋" w:hAnsi="仿宋" w:eastAsia="仿宋"/>
                <w:snapToGrid w:val="0"/>
                <w:kern w:val="0"/>
                <w:sz w:val="18"/>
                <w:szCs w:val="21"/>
              </w:rPr>
              <w:t>4</w:t>
            </w:r>
          </w:p>
        </w:tc>
        <w:tc>
          <w:tcPr>
            <w:tcW w:w="810" w:type="pct"/>
            <w:shd w:val="clear" w:color="auto" w:fill="auto"/>
            <w:vAlign w:val="center"/>
          </w:tcPr>
          <w:p w14:paraId="430B6CBB">
            <w:pPr>
              <w:adjustRightInd w:val="0"/>
              <w:snapToGrid w:val="0"/>
              <w:spacing w:after="0" w:line="408" w:lineRule="auto"/>
              <w:jc w:val="center"/>
              <w:rPr>
                <w:rFonts w:hint="eastAsia" w:ascii="仿宋" w:hAnsi="仿宋" w:eastAsia="仿宋"/>
                <w:snapToGrid w:val="0"/>
                <w:kern w:val="0"/>
                <w:sz w:val="18"/>
                <w:szCs w:val="21"/>
              </w:rPr>
            </w:pPr>
            <w:r>
              <w:rPr>
                <w:rFonts w:hint="eastAsia" w:ascii="仿宋" w:hAnsi="仿宋" w:eastAsia="仿宋"/>
                <w:snapToGrid w:val="0"/>
                <w:kern w:val="0"/>
                <w:sz w:val="18"/>
                <w:szCs w:val="21"/>
              </w:rPr>
              <w:t>产出指标</w:t>
            </w:r>
          </w:p>
        </w:tc>
        <w:tc>
          <w:tcPr>
            <w:tcW w:w="1333" w:type="pct"/>
            <w:shd w:val="clear" w:color="auto" w:fill="auto"/>
            <w:vAlign w:val="center"/>
          </w:tcPr>
          <w:p w14:paraId="2857200C">
            <w:pPr>
              <w:adjustRightInd w:val="0"/>
              <w:snapToGrid w:val="0"/>
              <w:spacing w:after="0" w:line="408" w:lineRule="auto"/>
              <w:jc w:val="center"/>
              <w:rPr>
                <w:rFonts w:hint="eastAsia" w:ascii="仿宋" w:hAnsi="仿宋" w:eastAsia="仿宋"/>
                <w:snapToGrid w:val="0"/>
                <w:kern w:val="0"/>
                <w:sz w:val="18"/>
                <w:szCs w:val="21"/>
              </w:rPr>
            </w:pPr>
            <w:r>
              <w:rPr>
                <w:rFonts w:hint="eastAsia" w:ascii="仿宋" w:hAnsi="仿宋" w:eastAsia="仿宋"/>
                <w:snapToGrid w:val="0"/>
                <w:kern w:val="0"/>
                <w:sz w:val="18"/>
                <w:szCs w:val="21"/>
              </w:rPr>
              <w:t>数量指标</w:t>
            </w:r>
          </w:p>
        </w:tc>
        <w:tc>
          <w:tcPr>
            <w:tcW w:w="1594" w:type="pct"/>
            <w:shd w:val="clear" w:color="auto" w:fill="auto"/>
            <w:vAlign w:val="center"/>
          </w:tcPr>
          <w:p w14:paraId="3175253B">
            <w:pPr>
              <w:adjustRightInd w:val="0"/>
              <w:snapToGrid w:val="0"/>
              <w:spacing w:after="0" w:line="408" w:lineRule="auto"/>
              <w:jc w:val="center"/>
              <w:rPr>
                <w:rFonts w:hint="eastAsia" w:ascii="仿宋" w:hAnsi="仿宋" w:eastAsia="仿宋"/>
                <w:snapToGrid w:val="0"/>
                <w:kern w:val="0"/>
                <w:sz w:val="18"/>
                <w:szCs w:val="21"/>
              </w:rPr>
            </w:pPr>
            <w:r>
              <w:rPr>
                <w:rFonts w:hint="eastAsia" w:ascii="仿宋" w:hAnsi="仿宋" w:eastAsia="仿宋"/>
                <w:snapToGrid w:val="0"/>
                <w:kern w:val="0"/>
                <w:sz w:val="18"/>
                <w:szCs w:val="21"/>
              </w:rPr>
              <w:t>交通肇事逃逸案件侦破率</w:t>
            </w:r>
          </w:p>
        </w:tc>
        <w:tc>
          <w:tcPr>
            <w:tcW w:w="843" w:type="pct"/>
            <w:shd w:val="clear" w:color="auto" w:fill="auto"/>
            <w:vAlign w:val="center"/>
          </w:tcPr>
          <w:p w14:paraId="76221D19">
            <w:pPr>
              <w:adjustRightInd w:val="0"/>
              <w:snapToGrid w:val="0"/>
              <w:spacing w:after="0" w:line="408" w:lineRule="auto"/>
              <w:jc w:val="center"/>
              <w:rPr>
                <w:rFonts w:hint="eastAsia" w:ascii="仿宋" w:hAnsi="仿宋" w:eastAsia="仿宋"/>
                <w:snapToGrid w:val="0"/>
                <w:kern w:val="0"/>
                <w:sz w:val="18"/>
                <w:szCs w:val="21"/>
              </w:rPr>
            </w:pPr>
            <w:r>
              <w:rPr>
                <w:rFonts w:hint="eastAsia" w:ascii="仿宋" w:hAnsi="仿宋" w:eastAsia="仿宋"/>
                <w:snapToGrid w:val="0"/>
                <w:kern w:val="0"/>
                <w:sz w:val="18"/>
                <w:szCs w:val="21"/>
              </w:rPr>
              <w:t>≥90百分比</w:t>
            </w:r>
          </w:p>
        </w:tc>
      </w:tr>
      <w:tr w14:paraId="38485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420" w:type="pct"/>
            <w:shd w:val="clear" w:color="auto" w:fill="auto"/>
            <w:vAlign w:val="center"/>
          </w:tcPr>
          <w:p w14:paraId="6CE28B83">
            <w:pPr>
              <w:adjustRightInd w:val="0"/>
              <w:snapToGrid w:val="0"/>
              <w:spacing w:after="0" w:line="408" w:lineRule="auto"/>
              <w:jc w:val="center"/>
              <w:rPr>
                <w:rFonts w:hint="eastAsia" w:ascii="仿宋" w:hAnsi="仿宋" w:eastAsia="仿宋"/>
                <w:snapToGrid w:val="0"/>
                <w:kern w:val="0"/>
                <w:sz w:val="18"/>
                <w:szCs w:val="21"/>
              </w:rPr>
            </w:pPr>
            <w:r>
              <w:rPr>
                <w:rFonts w:hint="eastAsia" w:ascii="仿宋" w:hAnsi="仿宋" w:eastAsia="仿宋"/>
                <w:snapToGrid w:val="0"/>
                <w:kern w:val="0"/>
                <w:sz w:val="18"/>
                <w:szCs w:val="21"/>
              </w:rPr>
              <w:t>5</w:t>
            </w:r>
          </w:p>
        </w:tc>
        <w:tc>
          <w:tcPr>
            <w:tcW w:w="810" w:type="pct"/>
            <w:shd w:val="clear" w:color="auto" w:fill="auto"/>
            <w:vAlign w:val="center"/>
          </w:tcPr>
          <w:p w14:paraId="4A0F2237">
            <w:pPr>
              <w:adjustRightInd w:val="0"/>
              <w:snapToGrid w:val="0"/>
              <w:spacing w:after="0" w:line="408" w:lineRule="auto"/>
              <w:jc w:val="center"/>
              <w:rPr>
                <w:rFonts w:hint="eastAsia" w:ascii="仿宋" w:hAnsi="仿宋" w:eastAsia="仿宋"/>
                <w:snapToGrid w:val="0"/>
                <w:kern w:val="0"/>
                <w:sz w:val="18"/>
                <w:szCs w:val="21"/>
              </w:rPr>
            </w:pPr>
            <w:r>
              <w:rPr>
                <w:rFonts w:hint="eastAsia" w:ascii="仿宋" w:hAnsi="仿宋" w:eastAsia="仿宋"/>
                <w:snapToGrid w:val="0"/>
                <w:kern w:val="0"/>
                <w:sz w:val="18"/>
                <w:szCs w:val="21"/>
              </w:rPr>
              <w:t>产出指标</w:t>
            </w:r>
          </w:p>
        </w:tc>
        <w:tc>
          <w:tcPr>
            <w:tcW w:w="1333" w:type="pct"/>
            <w:shd w:val="clear" w:color="auto" w:fill="auto"/>
            <w:vAlign w:val="center"/>
          </w:tcPr>
          <w:p w14:paraId="41A07B1C">
            <w:pPr>
              <w:adjustRightInd w:val="0"/>
              <w:snapToGrid w:val="0"/>
              <w:spacing w:after="0" w:line="408" w:lineRule="auto"/>
              <w:jc w:val="center"/>
              <w:rPr>
                <w:rFonts w:hint="eastAsia" w:ascii="仿宋" w:hAnsi="仿宋" w:eastAsia="仿宋"/>
                <w:snapToGrid w:val="0"/>
                <w:kern w:val="0"/>
                <w:sz w:val="18"/>
                <w:szCs w:val="21"/>
              </w:rPr>
            </w:pPr>
            <w:r>
              <w:rPr>
                <w:rFonts w:hint="eastAsia" w:ascii="仿宋" w:hAnsi="仿宋" w:eastAsia="仿宋"/>
                <w:snapToGrid w:val="0"/>
                <w:kern w:val="0"/>
                <w:sz w:val="18"/>
                <w:szCs w:val="21"/>
              </w:rPr>
              <w:t>质量指标</w:t>
            </w:r>
          </w:p>
        </w:tc>
        <w:tc>
          <w:tcPr>
            <w:tcW w:w="1594" w:type="pct"/>
            <w:shd w:val="clear" w:color="auto" w:fill="auto"/>
            <w:vAlign w:val="center"/>
          </w:tcPr>
          <w:p w14:paraId="449FC6ED">
            <w:pPr>
              <w:adjustRightInd w:val="0"/>
              <w:snapToGrid w:val="0"/>
              <w:spacing w:after="0" w:line="408" w:lineRule="auto"/>
              <w:jc w:val="center"/>
              <w:rPr>
                <w:rFonts w:hint="eastAsia" w:ascii="仿宋" w:hAnsi="仿宋" w:eastAsia="仿宋"/>
                <w:snapToGrid w:val="0"/>
                <w:kern w:val="0"/>
                <w:sz w:val="18"/>
                <w:szCs w:val="21"/>
              </w:rPr>
            </w:pPr>
            <w:r>
              <w:rPr>
                <w:rFonts w:hint="eastAsia" w:ascii="仿宋" w:hAnsi="仿宋" w:eastAsia="仿宋"/>
                <w:snapToGrid w:val="0"/>
                <w:kern w:val="0"/>
                <w:sz w:val="18"/>
                <w:szCs w:val="21"/>
              </w:rPr>
              <w:t>八类重点车辆检验率</w:t>
            </w:r>
          </w:p>
        </w:tc>
        <w:tc>
          <w:tcPr>
            <w:tcW w:w="843" w:type="pct"/>
            <w:shd w:val="clear" w:color="auto" w:fill="auto"/>
            <w:vAlign w:val="center"/>
          </w:tcPr>
          <w:p w14:paraId="409F3F33">
            <w:pPr>
              <w:adjustRightInd w:val="0"/>
              <w:snapToGrid w:val="0"/>
              <w:spacing w:after="0" w:line="408" w:lineRule="auto"/>
              <w:jc w:val="center"/>
              <w:rPr>
                <w:rFonts w:hint="eastAsia" w:ascii="仿宋" w:hAnsi="仿宋" w:eastAsia="仿宋"/>
                <w:snapToGrid w:val="0"/>
                <w:kern w:val="0"/>
                <w:sz w:val="18"/>
                <w:szCs w:val="21"/>
              </w:rPr>
            </w:pPr>
            <w:r>
              <w:rPr>
                <w:rFonts w:hint="eastAsia" w:ascii="仿宋" w:hAnsi="仿宋" w:eastAsia="仿宋"/>
                <w:snapToGrid w:val="0"/>
                <w:kern w:val="0"/>
                <w:sz w:val="18"/>
                <w:szCs w:val="21"/>
              </w:rPr>
              <w:t>≥80百分比</w:t>
            </w:r>
          </w:p>
        </w:tc>
      </w:tr>
      <w:tr w14:paraId="74547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420" w:type="pct"/>
            <w:shd w:val="clear" w:color="auto" w:fill="auto"/>
            <w:vAlign w:val="center"/>
          </w:tcPr>
          <w:p w14:paraId="47F71490">
            <w:pPr>
              <w:adjustRightInd w:val="0"/>
              <w:snapToGrid w:val="0"/>
              <w:spacing w:after="0" w:line="408" w:lineRule="auto"/>
              <w:jc w:val="center"/>
              <w:rPr>
                <w:rFonts w:hint="eastAsia" w:ascii="仿宋" w:hAnsi="仿宋" w:eastAsia="仿宋"/>
                <w:snapToGrid w:val="0"/>
                <w:kern w:val="0"/>
                <w:sz w:val="18"/>
                <w:szCs w:val="21"/>
              </w:rPr>
            </w:pPr>
            <w:r>
              <w:rPr>
                <w:rFonts w:hint="eastAsia" w:ascii="仿宋" w:hAnsi="仿宋" w:eastAsia="仿宋"/>
                <w:snapToGrid w:val="0"/>
                <w:kern w:val="0"/>
                <w:sz w:val="18"/>
                <w:szCs w:val="21"/>
              </w:rPr>
              <w:t>6</w:t>
            </w:r>
          </w:p>
        </w:tc>
        <w:tc>
          <w:tcPr>
            <w:tcW w:w="810" w:type="pct"/>
            <w:shd w:val="clear" w:color="auto" w:fill="auto"/>
            <w:vAlign w:val="center"/>
          </w:tcPr>
          <w:p w14:paraId="6CDCB299">
            <w:pPr>
              <w:adjustRightInd w:val="0"/>
              <w:snapToGrid w:val="0"/>
              <w:spacing w:after="0" w:line="408" w:lineRule="auto"/>
              <w:jc w:val="center"/>
              <w:rPr>
                <w:rFonts w:hint="eastAsia" w:ascii="仿宋" w:hAnsi="仿宋" w:eastAsia="仿宋"/>
                <w:snapToGrid w:val="0"/>
                <w:kern w:val="0"/>
                <w:sz w:val="18"/>
                <w:szCs w:val="21"/>
              </w:rPr>
            </w:pPr>
            <w:r>
              <w:rPr>
                <w:rFonts w:hint="eastAsia" w:ascii="仿宋" w:hAnsi="仿宋" w:eastAsia="仿宋"/>
                <w:snapToGrid w:val="0"/>
                <w:kern w:val="0"/>
                <w:sz w:val="18"/>
                <w:szCs w:val="21"/>
              </w:rPr>
              <w:t>产出指标</w:t>
            </w:r>
          </w:p>
        </w:tc>
        <w:tc>
          <w:tcPr>
            <w:tcW w:w="1333" w:type="pct"/>
            <w:shd w:val="clear" w:color="auto" w:fill="auto"/>
            <w:vAlign w:val="center"/>
          </w:tcPr>
          <w:p w14:paraId="69BC9310">
            <w:pPr>
              <w:adjustRightInd w:val="0"/>
              <w:snapToGrid w:val="0"/>
              <w:spacing w:after="0" w:line="408" w:lineRule="auto"/>
              <w:jc w:val="center"/>
              <w:rPr>
                <w:rFonts w:hint="eastAsia" w:ascii="仿宋" w:hAnsi="仿宋" w:eastAsia="仿宋"/>
                <w:snapToGrid w:val="0"/>
                <w:kern w:val="0"/>
                <w:sz w:val="18"/>
                <w:szCs w:val="21"/>
              </w:rPr>
            </w:pPr>
            <w:r>
              <w:rPr>
                <w:rFonts w:hint="eastAsia" w:ascii="仿宋" w:hAnsi="仿宋" w:eastAsia="仿宋"/>
                <w:snapToGrid w:val="0"/>
                <w:kern w:val="0"/>
                <w:sz w:val="18"/>
                <w:szCs w:val="21"/>
              </w:rPr>
              <w:t>时效指标</w:t>
            </w:r>
          </w:p>
        </w:tc>
        <w:tc>
          <w:tcPr>
            <w:tcW w:w="1594" w:type="pct"/>
            <w:shd w:val="clear" w:color="auto" w:fill="auto"/>
            <w:vAlign w:val="center"/>
          </w:tcPr>
          <w:p w14:paraId="0262B3D8">
            <w:pPr>
              <w:adjustRightInd w:val="0"/>
              <w:snapToGrid w:val="0"/>
              <w:spacing w:after="0" w:line="408" w:lineRule="auto"/>
              <w:jc w:val="center"/>
              <w:rPr>
                <w:rFonts w:hint="eastAsia" w:ascii="仿宋" w:hAnsi="仿宋" w:eastAsia="仿宋"/>
                <w:snapToGrid w:val="0"/>
                <w:kern w:val="0"/>
                <w:sz w:val="18"/>
                <w:szCs w:val="21"/>
              </w:rPr>
            </w:pPr>
            <w:r>
              <w:rPr>
                <w:rFonts w:hint="eastAsia" w:ascii="仿宋" w:hAnsi="仿宋" w:eastAsia="仿宋"/>
                <w:snapToGrid w:val="0"/>
                <w:kern w:val="0"/>
                <w:sz w:val="18"/>
                <w:szCs w:val="21"/>
              </w:rPr>
              <w:t>交通事故处置平均时间</w:t>
            </w:r>
          </w:p>
        </w:tc>
        <w:tc>
          <w:tcPr>
            <w:tcW w:w="843" w:type="pct"/>
            <w:shd w:val="clear" w:color="auto" w:fill="auto"/>
            <w:vAlign w:val="center"/>
          </w:tcPr>
          <w:p w14:paraId="1F9A0F95">
            <w:pPr>
              <w:adjustRightInd w:val="0"/>
              <w:snapToGrid w:val="0"/>
              <w:spacing w:after="0" w:line="408" w:lineRule="auto"/>
              <w:jc w:val="center"/>
              <w:rPr>
                <w:rFonts w:hint="eastAsia" w:ascii="仿宋" w:hAnsi="仿宋" w:eastAsia="仿宋"/>
                <w:snapToGrid w:val="0"/>
                <w:kern w:val="0"/>
                <w:sz w:val="18"/>
                <w:szCs w:val="21"/>
              </w:rPr>
            </w:pPr>
            <w:r>
              <w:rPr>
                <w:rFonts w:hint="eastAsia" w:ascii="仿宋" w:hAnsi="仿宋" w:eastAsia="仿宋"/>
                <w:snapToGrid w:val="0"/>
                <w:kern w:val="0"/>
                <w:sz w:val="18"/>
                <w:szCs w:val="21"/>
              </w:rPr>
              <w:t>≤10小时</w:t>
            </w:r>
          </w:p>
        </w:tc>
      </w:tr>
    </w:tbl>
    <w:p w14:paraId="4552C653">
      <w:pPr>
        <w:spacing w:after="0" w:line="408" w:lineRule="auto"/>
        <w:ind w:firstLine="562" w:firstLineChars="200"/>
        <w:outlineLvl w:val="0"/>
        <w:rPr>
          <w:rFonts w:hint="eastAsia" w:ascii="仿宋" w:hAnsi="仿宋" w:eastAsia="仿宋"/>
          <w:b/>
          <w:sz w:val="28"/>
          <w:szCs w:val="21"/>
        </w:rPr>
      </w:pPr>
      <w:bookmarkStart w:id="16" w:name="_Toc182865205"/>
      <w:r>
        <w:rPr>
          <w:rFonts w:hint="eastAsia" w:ascii="仿宋" w:hAnsi="仿宋" w:eastAsia="仿宋"/>
          <w:b/>
          <w:sz w:val="28"/>
          <w:szCs w:val="21"/>
        </w:rPr>
        <w:t>三、绩效评价工作开展情况</w:t>
      </w:r>
      <w:bookmarkEnd w:id="16"/>
    </w:p>
    <w:p w14:paraId="13FD1989">
      <w:pPr>
        <w:spacing w:after="0" w:line="408" w:lineRule="auto"/>
        <w:ind w:firstLine="562" w:firstLineChars="200"/>
        <w:jc w:val="both"/>
        <w:outlineLvl w:val="1"/>
        <w:rPr>
          <w:rFonts w:hint="eastAsia" w:ascii="仿宋" w:hAnsi="仿宋" w:eastAsia="仿宋"/>
          <w:b/>
          <w:sz w:val="28"/>
          <w:szCs w:val="21"/>
        </w:rPr>
      </w:pPr>
      <w:bookmarkStart w:id="17" w:name="_Toc182865206"/>
      <w:r>
        <w:rPr>
          <w:rFonts w:hint="eastAsia" w:ascii="仿宋" w:hAnsi="仿宋" w:eastAsia="仿宋"/>
          <w:b/>
          <w:sz w:val="28"/>
          <w:szCs w:val="21"/>
        </w:rPr>
        <w:t>（一）绩效评价目的和作用</w:t>
      </w:r>
      <w:bookmarkEnd w:id="17"/>
    </w:p>
    <w:p w14:paraId="7C286CFC">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绩效评价的目的是提升相关部门的预算管理水平、</w:t>
      </w:r>
      <w:r>
        <w:rPr>
          <w:rFonts w:ascii="仿宋" w:hAnsi="仿宋" w:eastAsia="仿宋" w:cs="Times New Roman"/>
          <w:sz w:val="28"/>
          <w:szCs w:val="21"/>
        </w:rPr>
        <w:t>‌</w:t>
      </w:r>
      <w:r>
        <w:rPr>
          <w:rFonts w:hint="eastAsia" w:ascii="仿宋" w:hAnsi="仿宋" w:eastAsia="仿宋" w:cs="宋体"/>
          <w:sz w:val="28"/>
          <w:szCs w:val="21"/>
        </w:rPr>
        <w:t>增强项目单位资金支出责任、</w:t>
      </w:r>
      <w:r>
        <w:rPr>
          <w:rFonts w:ascii="仿宋" w:hAnsi="仿宋" w:eastAsia="仿宋" w:cs="Times New Roman"/>
          <w:sz w:val="28"/>
          <w:szCs w:val="21"/>
        </w:rPr>
        <w:t>‌</w:t>
      </w:r>
      <w:r>
        <w:rPr>
          <w:rFonts w:hint="eastAsia" w:ascii="仿宋" w:hAnsi="仿宋" w:eastAsia="仿宋" w:cs="宋体"/>
          <w:sz w:val="28"/>
          <w:szCs w:val="21"/>
        </w:rPr>
        <w:t>优化公共资源配置、</w:t>
      </w:r>
      <w:r>
        <w:rPr>
          <w:rFonts w:ascii="仿宋" w:hAnsi="仿宋" w:eastAsia="仿宋" w:cs="Times New Roman"/>
          <w:sz w:val="28"/>
          <w:szCs w:val="21"/>
        </w:rPr>
        <w:t>‌</w:t>
      </w:r>
      <w:r>
        <w:rPr>
          <w:rFonts w:hint="eastAsia" w:ascii="仿宋" w:hAnsi="仿宋" w:eastAsia="仿宋" w:cs="宋体"/>
          <w:sz w:val="28"/>
          <w:szCs w:val="21"/>
        </w:rPr>
        <w:t>节约公共支出成本，</w:t>
      </w:r>
      <w:r>
        <w:rPr>
          <w:rFonts w:ascii="仿宋" w:hAnsi="仿宋" w:eastAsia="仿宋" w:cs="Times New Roman"/>
          <w:sz w:val="28"/>
          <w:szCs w:val="21"/>
        </w:rPr>
        <w:t>‌</w:t>
      </w:r>
      <w:r>
        <w:rPr>
          <w:rFonts w:hint="eastAsia" w:ascii="仿宋" w:hAnsi="仿宋" w:eastAsia="仿宋" w:cs="宋体"/>
          <w:sz w:val="28"/>
          <w:szCs w:val="21"/>
        </w:rPr>
        <w:t>进而促进财政资金的合理配置和提高公共产品的服务质量。</w:t>
      </w:r>
      <w:r>
        <w:rPr>
          <w:rFonts w:ascii="仿宋" w:hAnsi="仿宋" w:eastAsia="仿宋" w:cs="Times New Roman"/>
          <w:sz w:val="28"/>
          <w:szCs w:val="21"/>
        </w:rPr>
        <w:t>‌</w:t>
      </w:r>
    </w:p>
    <w:p w14:paraId="2421290F">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绩效评价可以为相关部门的决策制定提供科学依据：</w:t>
      </w:r>
      <w:r>
        <w:rPr>
          <w:rFonts w:ascii="仿宋" w:hAnsi="仿宋" w:eastAsia="仿宋" w:cs="Times New Roman"/>
          <w:sz w:val="28"/>
          <w:szCs w:val="21"/>
        </w:rPr>
        <w:t>‌</w:t>
      </w:r>
      <w:r>
        <w:rPr>
          <w:rFonts w:hint="eastAsia" w:ascii="仿宋" w:hAnsi="仿宋" w:eastAsia="仿宋" w:cs="宋体"/>
          <w:sz w:val="28"/>
          <w:szCs w:val="21"/>
        </w:rPr>
        <w:t>高质量的绩效评价带来的可靠结果可以放心使用和引用，</w:t>
      </w:r>
      <w:r>
        <w:rPr>
          <w:rFonts w:ascii="仿宋" w:hAnsi="仿宋" w:eastAsia="仿宋" w:cs="Times New Roman"/>
          <w:sz w:val="28"/>
          <w:szCs w:val="21"/>
        </w:rPr>
        <w:t>‌</w:t>
      </w:r>
      <w:r>
        <w:rPr>
          <w:rFonts w:hint="eastAsia" w:ascii="仿宋" w:hAnsi="仿宋" w:eastAsia="仿宋" w:cs="宋体"/>
          <w:sz w:val="28"/>
          <w:szCs w:val="21"/>
        </w:rPr>
        <w:t>有助于改进决策水平。</w:t>
      </w:r>
      <w:r>
        <w:rPr>
          <w:rFonts w:ascii="仿宋" w:hAnsi="仿宋" w:eastAsia="仿宋" w:cs="Times New Roman"/>
          <w:sz w:val="28"/>
          <w:szCs w:val="21"/>
        </w:rPr>
        <w:t>‌</w:t>
      </w:r>
      <w:r>
        <w:rPr>
          <w:rFonts w:hint="eastAsia" w:ascii="仿宋" w:hAnsi="仿宋" w:eastAsia="仿宋" w:cs="宋体"/>
          <w:sz w:val="28"/>
          <w:szCs w:val="21"/>
        </w:rPr>
        <w:t>可以节约资源，</w:t>
      </w:r>
      <w:r>
        <w:rPr>
          <w:rFonts w:ascii="仿宋" w:hAnsi="仿宋" w:eastAsia="仿宋" w:cs="Times New Roman"/>
          <w:sz w:val="28"/>
          <w:szCs w:val="21"/>
        </w:rPr>
        <w:t>‌</w:t>
      </w:r>
      <w:r>
        <w:rPr>
          <w:rFonts w:hint="eastAsia" w:ascii="仿宋" w:hAnsi="仿宋" w:eastAsia="仿宋" w:cs="宋体"/>
          <w:sz w:val="28"/>
          <w:szCs w:val="21"/>
        </w:rPr>
        <w:t>指出相关政策是否按计划实施以及资源是否有效利用，</w:t>
      </w:r>
      <w:r>
        <w:rPr>
          <w:rFonts w:ascii="仿宋" w:hAnsi="仿宋" w:eastAsia="仿宋" w:cs="Times New Roman"/>
          <w:sz w:val="28"/>
          <w:szCs w:val="21"/>
        </w:rPr>
        <w:t>‌</w:t>
      </w:r>
      <w:r>
        <w:rPr>
          <w:rFonts w:hint="eastAsia" w:ascii="仿宋" w:hAnsi="仿宋" w:eastAsia="仿宋" w:cs="宋体"/>
          <w:sz w:val="28"/>
          <w:szCs w:val="21"/>
        </w:rPr>
        <w:t>为制定和执行政府优先发展领域和目标、</w:t>
      </w:r>
      <w:r>
        <w:rPr>
          <w:rFonts w:ascii="仿宋" w:hAnsi="仿宋" w:eastAsia="仿宋" w:cs="Times New Roman"/>
          <w:sz w:val="28"/>
          <w:szCs w:val="21"/>
        </w:rPr>
        <w:t>‌</w:t>
      </w:r>
      <w:r>
        <w:rPr>
          <w:rFonts w:hint="eastAsia" w:ascii="仿宋" w:hAnsi="仿宋" w:eastAsia="仿宋" w:cs="宋体"/>
          <w:sz w:val="28"/>
          <w:szCs w:val="21"/>
        </w:rPr>
        <w:t>展示责任以及为独立审查程序提供证据，</w:t>
      </w:r>
      <w:r>
        <w:rPr>
          <w:rFonts w:ascii="仿宋" w:hAnsi="仿宋" w:eastAsia="仿宋" w:cs="Times New Roman"/>
          <w:sz w:val="28"/>
          <w:szCs w:val="21"/>
        </w:rPr>
        <w:t>‌</w:t>
      </w:r>
      <w:r>
        <w:rPr>
          <w:rFonts w:hint="eastAsia" w:ascii="仿宋" w:hAnsi="仿宋" w:eastAsia="仿宋" w:cs="宋体"/>
          <w:sz w:val="28"/>
          <w:szCs w:val="21"/>
        </w:rPr>
        <w:t>同时也为以证据为基础的政策提供宝贵信息，</w:t>
      </w:r>
      <w:r>
        <w:rPr>
          <w:rFonts w:ascii="仿宋" w:hAnsi="仿宋" w:eastAsia="仿宋" w:cs="Times New Roman"/>
          <w:sz w:val="28"/>
          <w:szCs w:val="21"/>
        </w:rPr>
        <w:t>‌</w:t>
      </w:r>
      <w:r>
        <w:rPr>
          <w:rFonts w:hint="eastAsia" w:ascii="仿宋" w:hAnsi="仿宋" w:eastAsia="仿宋" w:cs="宋体"/>
          <w:sz w:val="28"/>
          <w:szCs w:val="21"/>
        </w:rPr>
        <w:t>有利于未来政策的制定。</w:t>
      </w:r>
      <w:r>
        <w:rPr>
          <w:rFonts w:ascii="仿宋" w:hAnsi="仿宋" w:eastAsia="仿宋" w:cs="Times New Roman"/>
          <w:sz w:val="28"/>
          <w:szCs w:val="21"/>
        </w:rPr>
        <w:t>‌</w:t>
      </w:r>
    </w:p>
    <w:p w14:paraId="645ADC0A">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绩效评价可以总结经验，</w:t>
      </w:r>
      <w:r>
        <w:rPr>
          <w:rFonts w:ascii="仿宋" w:hAnsi="仿宋" w:eastAsia="仿宋" w:cs="Times New Roman"/>
          <w:sz w:val="28"/>
          <w:szCs w:val="21"/>
        </w:rPr>
        <w:t>‌</w:t>
      </w:r>
      <w:r>
        <w:rPr>
          <w:rFonts w:hint="eastAsia" w:ascii="仿宋" w:hAnsi="仿宋" w:eastAsia="仿宋" w:cs="宋体"/>
          <w:sz w:val="28"/>
          <w:szCs w:val="21"/>
        </w:rPr>
        <w:t>为改善政府管理、</w:t>
      </w:r>
      <w:r>
        <w:rPr>
          <w:rFonts w:ascii="仿宋" w:hAnsi="仿宋" w:eastAsia="仿宋" w:cs="Times New Roman"/>
          <w:sz w:val="28"/>
          <w:szCs w:val="21"/>
        </w:rPr>
        <w:t>‌</w:t>
      </w:r>
      <w:r>
        <w:rPr>
          <w:rFonts w:hint="eastAsia" w:ascii="仿宋" w:hAnsi="仿宋" w:eastAsia="仿宋" w:cs="宋体"/>
          <w:sz w:val="28"/>
          <w:szCs w:val="21"/>
        </w:rPr>
        <w:t>纠正目标与实际的偏差提供依据：</w:t>
      </w:r>
      <w:r>
        <w:rPr>
          <w:rFonts w:ascii="仿宋" w:hAnsi="仿宋" w:eastAsia="仿宋" w:cs="Times New Roman"/>
          <w:sz w:val="28"/>
          <w:szCs w:val="21"/>
        </w:rPr>
        <w:t>‌</w:t>
      </w:r>
      <w:r>
        <w:rPr>
          <w:rFonts w:hint="eastAsia" w:ascii="仿宋" w:hAnsi="仿宋" w:eastAsia="仿宋" w:cs="宋体"/>
          <w:sz w:val="28"/>
          <w:szCs w:val="21"/>
        </w:rPr>
        <w:t>绩效评价通过验证目标指标，</w:t>
      </w:r>
      <w:r>
        <w:rPr>
          <w:rFonts w:ascii="仿宋" w:hAnsi="仿宋" w:eastAsia="仿宋" w:cs="Times New Roman"/>
          <w:sz w:val="28"/>
          <w:szCs w:val="21"/>
        </w:rPr>
        <w:t>‌</w:t>
      </w:r>
      <w:r>
        <w:rPr>
          <w:rFonts w:hint="eastAsia" w:ascii="仿宋" w:hAnsi="仿宋" w:eastAsia="仿宋" w:cs="宋体"/>
          <w:sz w:val="28"/>
          <w:szCs w:val="21"/>
        </w:rPr>
        <w:t>确定目标与现实之间的差异程度，</w:t>
      </w:r>
      <w:r>
        <w:rPr>
          <w:rFonts w:ascii="仿宋" w:hAnsi="仿宋" w:eastAsia="仿宋" w:cs="Times New Roman"/>
          <w:sz w:val="28"/>
          <w:szCs w:val="21"/>
        </w:rPr>
        <w:t>‌</w:t>
      </w:r>
      <w:r>
        <w:rPr>
          <w:rFonts w:hint="eastAsia" w:ascii="仿宋" w:hAnsi="仿宋" w:eastAsia="仿宋" w:cs="宋体"/>
          <w:sz w:val="28"/>
          <w:szCs w:val="21"/>
        </w:rPr>
        <w:t>分析产生问题的原因，</w:t>
      </w:r>
      <w:r>
        <w:rPr>
          <w:rFonts w:ascii="仿宋" w:hAnsi="仿宋" w:eastAsia="仿宋" w:cs="Times New Roman"/>
          <w:sz w:val="28"/>
          <w:szCs w:val="21"/>
        </w:rPr>
        <w:t>‌</w:t>
      </w:r>
      <w:r>
        <w:rPr>
          <w:rFonts w:hint="eastAsia" w:ascii="仿宋" w:hAnsi="仿宋" w:eastAsia="仿宋" w:cs="宋体"/>
          <w:sz w:val="28"/>
          <w:szCs w:val="21"/>
        </w:rPr>
        <w:t>提出合理的建议，</w:t>
      </w:r>
      <w:r>
        <w:rPr>
          <w:rFonts w:ascii="仿宋" w:hAnsi="仿宋" w:eastAsia="仿宋" w:cs="Times New Roman"/>
          <w:sz w:val="28"/>
          <w:szCs w:val="21"/>
        </w:rPr>
        <w:t>‌</w:t>
      </w:r>
      <w:r>
        <w:rPr>
          <w:rFonts w:hint="eastAsia" w:ascii="仿宋" w:hAnsi="仿宋" w:eastAsia="仿宋" w:cs="宋体"/>
          <w:sz w:val="28"/>
          <w:szCs w:val="21"/>
        </w:rPr>
        <w:t>从而为纠偏决策提供依据，</w:t>
      </w:r>
      <w:r>
        <w:rPr>
          <w:rFonts w:ascii="仿宋" w:hAnsi="仿宋" w:eastAsia="仿宋" w:cs="Times New Roman"/>
          <w:sz w:val="28"/>
          <w:szCs w:val="21"/>
        </w:rPr>
        <w:t>‌</w:t>
      </w:r>
      <w:r>
        <w:rPr>
          <w:rFonts w:hint="eastAsia" w:ascii="仿宋" w:hAnsi="仿宋" w:eastAsia="仿宋" w:cs="宋体"/>
          <w:sz w:val="28"/>
          <w:szCs w:val="21"/>
        </w:rPr>
        <w:t>改善政府管理，</w:t>
      </w:r>
      <w:r>
        <w:rPr>
          <w:rFonts w:ascii="仿宋" w:hAnsi="仿宋" w:eastAsia="仿宋" w:cs="Times New Roman"/>
          <w:sz w:val="28"/>
          <w:szCs w:val="21"/>
        </w:rPr>
        <w:t>‌</w:t>
      </w:r>
      <w:r>
        <w:rPr>
          <w:rFonts w:hint="eastAsia" w:ascii="仿宋" w:hAnsi="仿宋" w:eastAsia="仿宋" w:cs="宋体"/>
          <w:sz w:val="28"/>
          <w:szCs w:val="21"/>
        </w:rPr>
        <w:t>纠正目标与实际的偏差。</w:t>
      </w:r>
    </w:p>
    <w:p w14:paraId="3B52BA8A">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绩效评价可以为财政部门对各单位提供问责依据：</w:t>
      </w:r>
      <w:r>
        <w:rPr>
          <w:rFonts w:ascii="仿宋" w:hAnsi="仿宋" w:eastAsia="仿宋" w:cs="Times New Roman"/>
          <w:sz w:val="28"/>
          <w:szCs w:val="21"/>
        </w:rPr>
        <w:t>‌</w:t>
      </w:r>
      <w:r>
        <w:rPr>
          <w:rFonts w:hint="eastAsia" w:ascii="仿宋" w:hAnsi="仿宋" w:eastAsia="仿宋" w:cs="宋体"/>
          <w:sz w:val="28"/>
          <w:szCs w:val="21"/>
        </w:rPr>
        <w:t>随着公共财政管理体制的日趋完善，</w:t>
      </w:r>
      <w:r>
        <w:rPr>
          <w:rFonts w:ascii="仿宋" w:hAnsi="仿宋" w:eastAsia="仿宋" w:cs="Times New Roman"/>
          <w:sz w:val="28"/>
          <w:szCs w:val="21"/>
        </w:rPr>
        <w:t>‌</w:t>
      </w:r>
      <w:r>
        <w:rPr>
          <w:rFonts w:hint="eastAsia" w:ascii="仿宋" w:hAnsi="仿宋" w:eastAsia="仿宋" w:cs="宋体"/>
          <w:sz w:val="28"/>
          <w:szCs w:val="21"/>
        </w:rPr>
        <w:t>“花钱必问效，</w:t>
      </w:r>
      <w:r>
        <w:rPr>
          <w:rFonts w:ascii="仿宋" w:hAnsi="仿宋" w:eastAsia="仿宋" w:cs="Times New Roman"/>
          <w:sz w:val="28"/>
          <w:szCs w:val="21"/>
        </w:rPr>
        <w:t>‌</w:t>
      </w:r>
      <w:r>
        <w:rPr>
          <w:rFonts w:hint="eastAsia" w:ascii="仿宋" w:hAnsi="仿宋" w:eastAsia="仿宋" w:cs="宋体"/>
          <w:sz w:val="28"/>
          <w:szCs w:val="21"/>
        </w:rPr>
        <w:t>无效必问责”的理念已经成为财政部门加强预算管理的基本原则。</w:t>
      </w:r>
      <w:r>
        <w:rPr>
          <w:rFonts w:ascii="仿宋" w:hAnsi="仿宋" w:eastAsia="仿宋" w:cs="Times New Roman"/>
          <w:sz w:val="28"/>
          <w:szCs w:val="21"/>
        </w:rPr>
        <w:t>‌</w:t>
      </w:r>
      <w:r>
        <w:rPr>
          <w:rFonts w:hint="eastAsia" w:ascii="仿宋" w:hAnsi="仿宋" w:eastAsia="仿宋" w:cs="宋体"/>
          <w:sz w:val="28"/>
          <w:szCs w:val="21"/>
        </w:rPr>
        <w:t>高质量的绩效评价及其提供的可靠证据，</w:t>
      </w:r>
      <w:r>
        <w:rPr>
          <w:rFonts w:ascii="仿宋" w:hAnsi="仿宋" w:eastAsia="仿宋" w:cs="Times New Roman"/>
          <w:sz w:val="28"/>
          <w:szCs w:val="21"/>
        </w:rPr>
        <w:t>‌</w:t>
      </w:r>
      <w:r>
        <w:rPr>
          <w:rFonts w:hint="eastAsia" w:ascii="仿宋" w:hAnsi="仿宋" w:eastAsia="仿宋" w:cs="宋体"/>
          <w:sz w:val="28"/>
          <w:szCs w:val="21"/>
        </w:rPr>
        <w:t>将成为财政部门对各预算实施主体绩效目标未达成进行问责的客观依据，</w:t>
      </w:r>
      <w:r>
        <w:rPr>
          <w:rFonts w:ascii="仿宋" w:hAnsi="仿宋" w:eastAsia="仿宋" w:cs="Times New Roman"/>
          <w:sz w:val="28"/>
          <w:szCs w:val="21"/>
        </w:rPr>
        <w:t>‌</w:t>
      </w:r>
      <w:r>
        <w:rPr>
          <w:rFonts w:hint="eastAsia" w:ascii="仿宋" w:hAnsi="仿宋" w:eastAsia="仿宋" w:cs="宋体"/>
          <w:sz w:val="28"/>
          <w:szCs w:val="21"/>
        </w:rPr>
        <w:t>能促进政策的执行、</w:t>
      </w:r>
      <w:r>
        <w:rPr>
          <w:rFonts w:ascii="仿宋" w:hAnsi="仿宋" w:eastAsia="仿宋" w:cs="Times New Roman"/>
          <w:sz w:val="28"/>
          <w:szCs w:val="21"/>
        </w:rPr>
        <w:t>‌</w:t>
      </w:r>
      <w:r>
        <w:rPr>
          <w:rFonts w:hint="eastAsia" w:ascii="仿宋" w:hAnsi="仿宋" w:eastAsia="仿宋" w:cs="宋体"/>
          <w:sz w:val="28"/>
          <w:szCs w:val="21"/>
        </w:rPr>
        <w:t>提高政策执行的绩效和有效性。</w:t>
      </w:r>
    </w:p>
    <w:p w14:paraId="6BE31162">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绩效评价不仅是评估政府工作的手段，</w:t>
      </w:r>
      <w:r>
        <w:rPr>
          <w:rFonts w:ascii="仿宋" w:hAnsi="仿宋" w:eastAsia="仿宋" w:cs="Times New Roman"/>
          <w:sz w:val="28"/>
          <w:szCs w:val="21"/>
        </w:rPr>
        <w:t>‌</w:t>
      </w:r>
      <w:r>
        <w:rPr>
          <w:rFonts w:hint="eastAsia" w:ascii="仿宋" w:hAnsi="仿宋" w:eastAsia="仿宋" w:cs="宋体"/>
          <w:sz w:val="28"/>
          <w:szCs w:val="21"/>
        </w:rPr>
        <w:t>也是提高政府工作效率和服务质量的重要工具，</w:t>
      </w:r>
      <w:r>
        <w:rPr>
          <w:rFonts w:ascii="仿宋" w:hAnsi="仿宋" w:eastAsia="仿宋" w:cs="Times New Roman"/>
          <w:sz w:val="28"/>
          <w:szCs w:val="21"/>
        </w:rPr>
        <w:t>‌</w:t>
      </w:r>
      <w:r>
        <w:rPr>
          <w:rFonts w:hint="eastAsia" w:ascii="仿宋" w:hAnsi="仿宋" w:eastAsia="仿宋" w:cs="宋体"/>
          <w:sz w:val="28"/>
          <w:szCs w:val="21"/>
        </w:rPr>
        <w:t>对于推动政府管理的科学化、</w:t>
      </w:r>
      <w:r>
        <w:rPr>
          <w:rFonts w:ascii="仿宋" w:hAnsi="仿宋" w:eastAsia="仿宋" w:cs="Times New Roman"/>
          <w:sz w:val="28"/>
          <w:szCs w:val="21"/>
        </w:rPr>
        <w:t>‌</w:t>
      </w:r>
      <w:r>
        <w:rPr>
          <w:rFonts w:hint="eastAsia" w:ascii="仿宋" w:hAnsi="仿宋" w:eastAsia="仿宋" w:cs="宋体"/>
          <w:sz w:val="28"/>
          <w:szCs w:val="21"/>
        </w:rPr>
        <w:t>规范化具有重要意义</w:t>
      </w:r>
      <w:r>
        <w:rPr>
          <w:rFonts w:hint="eastAsia" w:ascii="仿宋" w:hAnsi="仿宋" w:eastAsia="仿宋"/>
          <w:sz w:val="28"/>
          <w:szCs w:val="21"/>
        </w:rPr>
        <w:t>。</w:t>
      </w:r>
    </w:p>
    <w:p w14:paraId="15788873">
      <w:pPr>
        <w:spacing w:after="0" w:line="408" w:lineRule="auto"/>
        <w:ind w:firstLine="562" w:firstLineChars="200"/>
        <w:jc w:val="both"/>
        <w:outlineLvl w:val="1"/>
        <w:rPr>
          <w:rFonts w:hint="eastAsia" w:ascii="仿宋" w:hAnsi="仿宋" w:eastAsia="仿宋"/>
          <w:b/>
          <w:sz w:val="28"/>
          <w:szCs w:val="21"/>
        </w:rPr>
      </w:pPr>
      <w:bookmarkStart w:id="18" w:name="_Toc182865207"/>
      <w:r>
        <w:rPr>
          <w:rFonts w:hint="eastAsia" w:ascii="仿宋" w:hAnsi="仿宋" w:eastAsia="仿宋"/>
          <w:b/>
          <w:sz w:val="28"/>
          <w:szCs w:val="21"/>
        </w:rPr>
        <w:t>（二）评价对象和范围</w:t>
      </w:r>
      <w:bookmarkEnd w:id="18"/>
    </w:p>
    <w:p w14:paraId="2C9255B1">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本次绩效评价的评价范围为2023年</w:t>
      </w:r>
      <w:r>
        <w:rPr>
          <w:rFonts w:hint="eastAsia" w:ascii="仿宋" w:hAnsi="仿宋" w:eastAsia="仿宋"/>
          <w:sz w:val="28"/>
          <w:szCs w:val="21"/>
          <w:lang w:eastAsia="zh-CN"/>
        </w:rPr>
        <w:t>泉州市</w:t>
      </w:r>
      <w:r>
        <w:rPr>
          <w:rFonts w:hint="eastAsia" w:ascii="仿宋" w:hAnsi="仿宋" w:eastAsia="仿宋"/>
          <w:sz w:val="28"/>
          <w:szCs w:val="21"/>
        </w:rPr>
        <w:t>洛江区道路交通安全专项资金。</w:t>
      </w:r>
    </w:p>
    <w:p w14:paraId="1252BD76">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绩效评价期间为：2023年1月1日至2023年12月31日</w:t>
      </w:r>
    </w:p>
    <w:p w14:paraId="4ACDDD4A">
      <w:pPr>
        <w:spacing w:after="0" w:line="408" w:lineRule="auto"/>
        <w:ind w:firstLine="562" w:firstLineChars="200"/>
        <w:jc w:val="both"/>
        <w:outlineLvl w:val="1"/>
        <w:rPr>
          <w:rFonts w:hint="eastAsia" w:ascii="仿宋" w:hAnsi="仿宋" w:eastAsia="仿宋"/>
          <w:b/>
          <w:sz w:val="28"/>
          <w:szCs w:val="21"/>
        </w:rPr>
      </w:pPr>
      <w:bookmarkStart w:id="19" w:name="_Toc182865208"/>
      <w:r>
        <w:rPr>
          <w:rFonts w:hint="eastAsia" w:ascii="仿宋" w:hAnsi="仿宋" w:eastAsia="仿宋"/>
          <w:b/>
          <w:sz w:val="28"/>
          <w:szCs w:val="21"/>
        </w:rPr>
        <w:t>（三）绩效评价依据</w:t>
      </w:r>
      <w:bookmarkEnd w:id="19"/>
    </w:p>
    <w:p w14:paraId="4BFDF6BE">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（1）《中共中央</w:t>
      </w:r>
      <w:r>
        <w:rPr>
          <w:rFonts w:hint="eastAsia" w:ascii="仿宋" w:hAnsi="仿宋" w:eastAsia="仿宋"/>
          <w:sz w:val="28"/>
          <w:szCs w:val="21"/>
          <w:lang w:val="en-US" w:eastAsia="zh-CN"/>
        </w:rPr>
        <w:t xml:space="preserve"> </w:t>
      </w:r>
      <w:r>
        <w:rPr>
          <w:rFonts w:hint="eastAsia" w:ascii="仿宋" w:hAnsi="仿宋" w:eastAsia="仿宋"/>
          <w:sz w:val="28"/>
          <w:szCs w:val="21"/>
        </w:rPr>
        <w:t>国务院关于全面实施预算绩效管理的意见》（中发〔2018〕34号）；</w:t>
      </w:r>
    </w:p>
    <w:p w14:paraId="4F639451">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（2）《财政部关于印发</w:t>
      </w:r>
      <w:r>
        <w:rPr>
          <w:rFonts w:hint="eastAsia" w:ascii="仿宋" w:hAnsi="仿宋" w:eastAsia="仿宋"/>
          <w:sz w:val="28"/>
          <w:szCs w:val="21"/>
          <w:lang w:val="en-US" w:eastAsia="zh-CN"/>
        </w:rPr>
        <w:t>&lt;</w:t>
      </w:r>
      <w:r>
        <w:rPr>
          <w:rFonts w:hint="eastAsia" w:ascii="仿宋" w:hAnsi="仿宋" w:eastAsia="仿宋"/>
          <w:sz w:val="28"/>
          <w:szCs w:val="21"/>
        </w:rPr>
        <w:t>项目支出绩效评价管理办法</w:t>
      </w:r>
      <w:r>
        <w:rPr>
          <w:rFonts w:hint="eastAsia" w:ascii="仿宋" w:hAnsi="仿宋" w:eastAsia="仿宋"/>
          <w:sz w:val="28"/>
          <w:szCs w:val="21"/>
          <w:lang w:val="en-US" w:eastAsia="zh-CN"/>
        </w:rPr>
        <w:t>&gt;</w:t>
      </w:r>
      <w:r>
        <w:rPr>
          <w:rFonts w:hint="eastAsia" w:ascii="仿宋" w:hAnsi="仿宋" w:eastAsia="仿宋"/>
          <w:sz w:val="28"/>
          <w:szCs w:val="21"/>
        </w:rPr>
        <w:t>的通知》（财预〔2022〕10号）；</w:t>
      </w:r>
    </w:p>
    <w:p w14:paraId="70038A2A">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（3）《福建省财政厅关于印发</w:t>
      </w:r>
      <w:r>
        <w:rPr>
          <w:rFonts w:hint="eastAsia" w:ascii="仿宋" w:hAnsi="仿宋" w:eastAsia="仿宋"/>
          <w:sz w:val="28"/>
          <w:szCs w:val="21"/>
          <w:lang w:val="en-US" w:eastAsia="zh-CN"/>
        </w:rPr>
        <w:t>&lt;</w:t>
      </w:r>
      <w:r>
        <w:rPr>
          <w:rFonts w:hint="eastAsia" w:ascii="仿宋" w:hAnsi="仿宋" w:eastAsia="仿宋"/>
          <w:sz w:val="28"/>
          <w:szCs w:val="21"/>
        </w:rPr>
        <w:t>财政支出绩效评价指标体系及使用指南</w:t>
      </w:r>
      <w:r>
        <w:rPr>
          <w:rFonts w:hint="eastAsia" w:ascii="仿宋" w:hAnsi="仿宋" w:eastAsia="仿宋"/>
          <w:sz w:val="28"/>
          <w:szCs w:val="21"/>
          <w:lang w:val="en-US" w:eastAsia="zh-CN"/>
        </w:rPr>
        <w:t>&gt;</w:t>
      </w:r>
      <w:r>
        <w:rPr>
          <w:rFonts w:hint="eastAsia" w:ascii="仿宋" w:hAnsi="仿宋" w:eastAsia="仿宋"/>
          <w:sz w:val="28"/>
          <w:szCs w:val="21"/>
        </w:rPr>
        <w:t>的通知》（闽财绩〔2012〕13号）；</w:t>
      </w:r>
    </w:p>
    <w:p w14:paraId="422E762A">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（4）《福建省财政厅关于印发</w:t>
      </w:r>
      <w:r>
        <w:rPr>
          <w:rFonts w:hint="eastAsia" w:ascii="仿宋" w:hAnsi="仿宋" w:eastAsia="仿宋"/>
          <w:sz w:val="28"/>
          <w:szCs w:val="21"/>
          <w:lang w:val="en-US" w:eastAsia="zh-CN"/>
        </w:rPr>
        <w:t>&lt;</w:t>
      </w:r>
      <w:r>
        <w:rPr>
          <w:rFonts w:hint="eastAsia" w:ascii="仿宋" w:hAnsi="仿宋" w:eastAsia="仿宋"/>
          <w:sz w:val="28"/>
          <w:szCs w:val="21"/>
        </w:rPr>
        <w:t>福建省财政支出绩效评价管理暂行办法</w:t>
      </w:r>
      <w:r>
        <w:rPr>
          <w:rFonts w:hint="eastAsia" w:ascii="仿宋" w:hAnsi="仿宋" w:eastAsia="仿宋"/>
          <w:sz w:val="28"/>
          <w:szCs w:val="21"/>
          <w:lang w:val="en-US" w:eastAsia="zh-CN"/>
        </w:rPr>
        <w:t>&gt;</w:t>
      </w:r>
      <w:r>
        <w:rPr>
          <w:rFonts w:hint="eastAsia" w:ascii="仿宋" w:hAnsi="仿宋" w:eastAsia="仿宋"/>
          <w:sz w:val="28"/>
          <w:szCs w:val="21"/>
        </w:rPr>
        <w:t>的通知》（闽财绩〔2015〕4号）；</w:t>
      </w:r>
    </w:p>
    <w:p w14:paraId="5A334FF2">
      <w:pPr>
        <w:spacing w:after="0" w:line="408" w:lineRule="auto"/>
        <w:ind w:firstLine="560" w:firstLineChars="200"/>
        <w:jc w:val="both"/>
        <w:rPr>
          <w:rFonts w:hint="eastAsia" w:ascii="仿宋" w:hAnsi="仿宋" w:eastAsia="仿宋"/>
          <w:sz w:val="28"/>
          <w:szCs w:val="21"/>
        </w:rPr>
      </w:pPr>
      <w:bookmarkStart w:id="20" w:name="_Hlk173142957"/>
      <w:r>
        <w:rPr>
          <w:rFonts w:hint="eastAsia" w:ascii="仿宋" w:hAnsi="仿宋" w:eastAsia="仿宋"/>
          <w:sz w:val="28"/>
          <w:szCs w:val="21"/>
        </w:rPr>
        <w:t>（5）</w:t>
      </w:r>
      <w:bookmarkEnd w:id="20"/>
      <w:r>
        <w:rPr>
          <w:rFonts w:hint="eastAsia" w:ascii="仿宋" w:hAnsi="仿宋" w:eastAsia="仿宋"/>
          <w:sz w:val="28"/>
          <w:szCs w:val="21"/>
        </w:rPr>
        <w:t>《中华人民共和国招标投标法》；</w:t>
      </w:r>
    </w:p>
    <w:p w14:paraId="6DF7FA5F">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（6）《中华人民共和国招标投标法实施条例》；</w:t>
      </w:r>
    </w:p>
    <w:p w14:paraId="46FD96D8">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（7）《中华人民共和国政府采购法》；</w:t>
      </w:r>
    </w:p>
    <w:p w14:paraId="18E7FC9F">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（8）《中华人民共和国政府采购法实施条例》；</w:t>
      </w:r>
    </w:p>
    <w:p w14:paraId="115C4496">
      <w:pPr>
        <w:pStyle w:val="4"/>
        <w:keepNext w:val="0"/>
        <w:keepLines w:val="0"/>
        <w:widowControl/>
        <w:suppressLineNumbers w:val="0"/>
        <w:shd w:val="clear" w:fill="FFFFFF"/>
        <w:spacing w:before="0" w:beforeAutospacing="0" w:line="600" w:lineRule="atLeast"/>
        <w:ind w:left="0" w:firstLine="560" w:firstLineChars="200"/>
        <w:jc w:val="left"/>
        <w:rPr>
          <w:rFonts w:hint="eastAsia" w:ascii="仿宋" w:hAnsi="仿宋" w:eastAsia="仿宋"/>
          <w:sz w:val="28"/>
          <w:szCs w:val="21"/>
        </w:rPr>
      </w:pPr>
      <w:r>
        <w:rPr>
          <w:rFonts w:hint="eastAsia" w:ascii="仿宋" w:hAnsi="仿宋" w:eastAsia="仿宋" w:cstheme="minorBidi"/>
          <w:b w:val="0"/>
          <w:bCs w:val="0"/>
          <w:kern w:val="2"/>
          <w:sz w:val="28"/>
          <w:szCs w:val="21"/>
          <w:lang w:val="en-US" w:eastAsia="zh-CN" w:bidi="ar-SA"/>
          <w14:ligatures w14:val="standardContextual"/>
        </w:rPr>
        <w:t>（9）《财政部关于印发&lt;预算绩效评价共性指标体系框架&gt;的通知》</w:t>
      </w:r>
      <w:r>
        <w:rPr>
          <w:rFonts w:hint="eastAsia" w:ascii="仿宋" w:hAnsi="仿宋" w:eastAsia="仿宋" w:cstheme="minorBidi"/>
          <w:b w:val="0"/>
          <w:bCs w:val="0"/>
          <w:kern w:val="2"/>
          <w:sz w:val="28"/>
          <w:szCs w:val="21"/>
          <w:lang w:val="en-US" w:eastAsia="zh-CN" w:bidi="ar-SA"/>
          <w14:ligatures w14:val="standardContextual"/>
        </w:rPr>
        <w:t>（财预〔2013〕53号）</w:t>
      </w:r>
      <w:r>
        <w:rPr>
          <w:rFonts w:hint="eastAsia" w:ascii="仿宋" w:hAnsi="仿宋" w:eastAsia="仿宋"/>
          <w:sz w:val="28"/>
          <w:szCs w:val="21"/>
        </w:rPr>
        <w:t>；</w:t>
      </w:r>
    </w:p>
    <w:p w14:paraId="4340E711">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（10）《项目支出绩效评价管理办法》；</w:t>
      </w:r>
    </w:p>
    <w:p w14:paraId="0EB0299C">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（11）</w:t>
      </w:r>
      <w:r>
        <w:rPr>
          <w:rFonts w:ascii="仿宋" w:hAnsi="仿宋" w:eastAsia="仿宋"/>
          <w:sz w:val="28"/>
          <w:szCs w:val="21"/>
        </w:rPr>
        <w:t>《中华人民共和国预算法》</w:t>
      </w:r>
      <w:r>
        <w:rPr>
          <w:rFonts w:hint="eastAsia" w:ascii="仿宋" w:hAnsi="仿宋" w:eastAsia="仿宋"/>
          <w:sz w:val="28"/>
          <w:szCs w:val="21"/>
        </w:rPr>
        <w:t>；</w:t>
      </w:r>
    </w:p>
    <w:p w14:paraId="27B608F6">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（12）《</w:t>
      </w:r>
      <w:r>
        <w:rPr>
          <w:rFonts w:hint="eastAsia" w:ascii="仿宋" w:hAnsi="仿宋" w:eastAsia="仿宋"/>
          <w:sz w:val="28"/>
          <w:szCs w:val="21"/>
          <w:lang w:eastAsia="zh-CN"/>
        </w:rPr>
        <w:t>福建省人民政府办公厅</w:t>
      </w:r>
      <w:r>
        <w:rPr>
          <w:rFonts w:hint="eastAsia" w:ascii="仿宋" w:hAnsi="仿宋" w:eastAsia="仿宋"/>
          <w:sz w:val="28"/>
          <w:szCs w:val="21"/>
        </w:rPr>
        <w:t>关于印发</w:t>
      </w:r>
      <w:r>
        <w:rPr>
          <w:rFonts w:hint="eastAsia" w:ascii="仿宋" w:hAnsi="仿宋" w:eastAsia="仿宋"/>
          <w:sz w:val="28"/>
          <w:szCs w:val="21"/>
          <w:lang w:val="en-US" w:eastAsia="zh-CN"/>
        </w:rPr>
        <w:t>&lt;</w:t>
      </w:r>
      <w:r>
        <w:rPr>
          <w:rFonts w:hint="eastAsia" w:ascii="仿宋" w:hAnsi="仿宋" w:eastAsia="仿宋"/>
          <w:sz w:val="28"/>
          <w:szCs w:val="21"/>
        </w:rPr>
        <w:t>福建省道路交通安全综合整治三年专项行动实施方案（2019-2021年）</w:t>
      </w:r>
      <w:r>
        <w:rPr>
          <w:rFonts w:hint="eastAsia" w:ascii="仿宋" w:hAnsi="仿宋" w:eastAsia="仿宋"/>
          <w:sz w:val="28"/>
          <w:szCs w:val="21"/>
          <w:lang w:val="en-US" w:eastAsia="zh-CN"/>
        </w:rPr>
        <w:t>&gt;</w:t>
      </w:r>
      <w:r>
        <w:rPr>
          <w:rFonts w:hint="eastAsia" w:ascii="仿宋" w:hAnsi="仿宋" w:eastAsia="仿宋"/>
          <w:sz w:val="28"/>
          <w:szCs w:val="21"/>
        </w:rPr>
        <w:t>的通知》（闽政办〔2019〕24号）；</w:t>
      </w:r>
    </w:p>
    <w:p w14:paraId="04067BD7">
      <w:pPr>
        <w:spacing w:after="0" w:line="408" w:lineRule="auto"/>
        <w:ind w:firstLine="562" w:firstLineChars="200"/>
        <w:jc w:val="both"/>
        <w:outlineLvl w:val="1"/>
        <w:rPr>
          <w:rFonts w:hint="eastAsia" w:ascii="仿宋" w:hAnsi="仿宋" w:eastAsia="仿宋"/>
          <w:b/>
          <w:sz w:val="28"/>
          <w:szCs w:val="21"/>
        </w:rPr>
      </w:pPr>
      <w:bookmarkStart w:id="21" w:name="_Toc182865209"/>
      <w:r>
        <w:rPr>
          <w:rFonts w:hint="eastAsia" w:ascii="仿宋" w:hAnsi="仿宋" w:eastAsia="仿宋"/>
          <w:b/>
          <w:sz w:val="28"/>
          <w:szCs w:val="21"/>
        </w:rPr>
        <w:t>（四）绩效评价原则</w:t>
      </w:r>
      <w:bookmarkEnd w:id="21"/>
    </w:p>
    <w:p w14:paraId="1AC7C3E6">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（1）相关性原则。确定的绩效评价指标应当与绩效目标有直接的联系能够恰当反映目标的实现程度，而与绩效目标无关的指标不应列入评价体系；</w:t>
      </w:r>
    </w:p>
    <w:p w14:paraId="6AD86497">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2）重要性原则。应当优先使用最具评价对象代表性、最能反映评价要求的核心指标，而对于那些无足轻重、可有可无的指标应该舍弃，否则，可能造成评价体系过于庞杂，可操作性不强，且不能突出反映问题；</w:t>
      </w:r>
    </w:p>
    <w:p w14:paraId="7A815D27">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（3）可比性原则。对同类评价对象要设定共性的绩效评价指标，以便于评价结果可以相互比较。如，项目立项、资金落实、项目管理、财务管理等就属于共性指标；</w:t>
      </w:r>
    </w:p>
    <w:p w14:paraId="526E4BE2">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（4）经济性原则。绩效评价指标不是设计得越复杂越好，应当通俗易懂、简便易行，数据的获得应当考虑现实条件和可操作性。</w:t>
      </w:r>
    </w:p>
    <w:p w14:paraId="3BE8FEAA">
      <w:pPr>
        <w:spacing w:after="0" w:line="408" w:lineRule="auto"/>
        <w:ind w:firstLine="562" w:firstLineChars="200"/>
        <w:jc w:val="both"/>
        <w:outlineLvl w:val="1"/>
        <w:rPr>
          <w:rFonts w:hint="eastAsia" w:ascii="仿宋" w:hAnsi="仿宋" w:eastAsia="仿宋"/>
          <w:b/>
          <w:sz w:val="28"/>
          <w:szCs w:val="21"/>
        </w:rPr>
      </w:pPr>
      <w:bookmarkStart w:id="22" w:name="_Toc182865210"/>
      <w:r>
        <w:rPr>
          <w:rFonts w:hint="eastAsia" w:ascii="仿宋" w:hAnsi="仿宋" w:eastAsia="仿宋"/>
          <w:b/>
          <w:sz w:val="28"/>
          <w:szCs w:val="21"/>
        </w:rPr>
        <w:t>（五）绩效评价方法</w:t>
      </w:r>
      <w:bookmarkEnd w:id="22"/>
    </w:p>
    <w:p w14:paraId="712E5251">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根据《财政支出绩效评价管理暂行办法》（财预〔2011〕第285号），绩效评价指标确定应当遵循以下绩效评价方法：</w:t>
      </w:r>
    </w:p>
    <w:p w14:paraId="6A8C803D">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（1）比较法。是指通过实际支出、实施效果等与绩效目标、历史情况、不同地区同类支出等的比较，综合分析绩效目标实现程度；</w:t>
      </w:r>
    </w:p>
    <w:p w14:paraId="1B6B96B2">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（2）成本效益分析法。是指将一定时期内的支出与效益进行对比分析，以评价绩效目标实现程度；</w:t>
      </w:r>
    </w:p>
    <w:p w14:paraId="46910E01">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（3）服务对象评判法。是指通过对服务对象进行问卷及抽样调查等对财政支出的效果进行评判，评价绩效目标实现程度。</w:t>
      </w:r>
    </w:p>
    <w:p w14:paraId="30C15030">
      <w:pPr>
        <w:spacing w:after="0" w:line="408" w:lineRule="auto"/>
        <w:ind w:firstLine="562" w:firstLineChars="200"/>
        <w:jc w:val="both"/>
        <w:outlineLvl w:val="1"/>
        <w:rPr>
          <w:rFonts w:hint="eastAsia" w:ascii="仿宋" w:hAnsi="仿宋" w:eastAsia="仿宋"/>
          <w:b/>
          <w:sz w:val="28"/>
          <w:szCs w:val="21"/>
        </w:rPr>
      </w:pPr>
      <w:bookmarkStart w:id="23" w:name="_Toc182865211"/>
      <w:r>
        <w:rPr>
          <w:rFonts w:hint="eastAsia" w:ascii="仿宋" w:hAnsi="仿宋" w:eastAsia="仿宋"/>
          <w:b/>
          <w:sz w:val="28"/>
          <w:szCs w:val="21"/>
        </w:rPr>
        <w:t>（六）绩效评价过程</w:t>
      </w:r>
      <w:bookmarkEnd w:id="23"/>
    </w:p>
    <w:p w14:paraId="53A6678E">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泉州市启程财务咨询有限公司受洛江区财政局委托，评价组进行现场评价工作，主要采取以下方式：</w:t>
      </w:r>
    </w:p>
    <w:p w14:paraId="6B6C39A2">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1）前期准备工作，成立绩效评价小组，对绩效评价工作调研，与项目实施单位负责人进行沟通、询问，了解有关资金使用管理及项目组织实施管理等情况。了解资金使用取得的成效、存在的主要问题及建议等，进行方案设计；</w:t>
      </w:r>
    </w:p>
    <w:p w14:paraId="44991DC3">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（2）绩效材料收集，对预算部门和项目实施单位的档案材料进行案卷研究评价，对绩效评价专项资金相关政策文件和制度等资料进行收集，并核实项目申报资金拨付、管理及验收情况、绩效目标实现程度等；</w:t>
      </w:r>
    </w:p>
    <w:p w14:paraId="5472C1FA">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（3）指标体系手稿设计阶段，评价工作小组通过对相关业务部门采集回来的项目资料进行整理，提取绩效指标，确定指标标准、指标解释、评分标准及评分规则，设计绩效指标体系初始手稿，设计调查问卷；</w:t>
      </w:r>
    </w:p>
    <w:p w14:paraId="7970C33C">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（4）实地走访。评价组对项目进行实地调研；</w:t>
      </w:r>
    </w:p>
    <w:p w14:paraId="4DE1DFDD">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（5）绩效指标体系初稿阶段，拟写指标体系，完成指标体系初稿设计；</w:t>
      </w:r>
    </w:p>
    <w:p w14:paraId="195E6BF8">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（6）部门反馈意见阶段，征求预算部门和项目实施单位及委托单位的意见，并向预算单位下发补充资料清单；</w:t>
      </w:r>
    </w:p>
    <w:p w14:paraId="2183B799">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（7）提交绩效评价报告，完成专项资金绩效评价报告，装订成册。</w:t>
      </w:r>
    </w:p>
    <w:p w14:paraId="39B79B2D">
      <w:pPr>
        <w:spacing w:after="0" w:line="408" w:lineRule="auto"/>
        <w:ind w:firstLine="562" w:firstLineChars="200"/>
        <w:jc w:val="both"/>
        <w:outlineLvl w:val="1"/>
        <w:rPr>
          <w:rFonts w:hint="eastAsia" w:ascii="仿宋" w:hAnsi="仿宋" w:eastAsia="仿宋"/>
          <w:b/>
          <w:sz w:val="28"/>
          <w:szCs w:val="21"/>
        </w:rPr>
      </w:pPr>
      <w:bookmarkStart w:id="24" w:name="_Toc182865212"/>
      <w:r>
        <w:rPr>
          <w:rFonts w:hint="eastAsia" w:ascii="仿宋" w:hAnsi="仿宋" w:eastAsia="仿宋"/>
          <w:b/>
          <w:sz w:val="28"/>
          <w:szCs w:val="21"/>
        </w:rPr>
        <w:t>（七）绩效评价指标体系</w:t>
      </w:r>
      <w:bookmarkEnd w:id="24"/>
    </w:p>
    <w:p w14:paraId="7AE9D98C">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绩效评价指标体系共设置4个一级指标、11个二级指标和29个三级指标。一级指标为决策、过程、产出和效益。其中：“决策”20分，主要体现项目立项、绩效目标和资金投入；“过程”28分，主要体现采购方式和程序合规性、绩效管理、组织实施；“产出”24分，主要体现产出数量、产出质量；“效益”28分，主要体现实施后的社会效益、经济效益，满意度。指标体系设定满分100分，评分等级：90分及以上为优，80-90分为良60-80分为中，60分以下为差。绩效评价指标体系及分值表如下表4所示：</w:t>
      </w:r>
    </w:p>
    <w:p w14:paraId="274418BF">
      <w:pPr>
        <w:spacing w:after="0" w:line="408" w:lineRule="auto"/>
        <w:jc w:val="center"/>
        <w:rPr>
          <w:rFonts w:hint="eastAsia" w:ascii="仿宋" w:hAnsi="仿宋" w:eastAsia="仿宋"/>
          <w:b/>
          <w:bCs/>
          <w:sz w:val="28"/>
          <w:szCs w:val="21"/>
        </w:rPr>
      </w:pPr>
      <w:r>
        <w:rPr>
          <w:rFonts w:hint="eastAsia" w:ascii="仿宋" w:hAnsi="仿宋" w:eastAsia="仿宋"/>
          <w:b/>
          <w:bCs/>
          <w:sz w:val="24"/>
          <w:szCs w:val="20"/>
        </w:rPr>
        <w:t>表4  2023年洛江区道路交通安全专项资金绩效评价指标体系及分值表</w:t>
      </w:r>
    </w:p>
    <w:tbl>
      <w:tblPr>
        <w:tblStyle w:val="9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3"/>
        <w:gridCol w:w="1719"/>
        <w:gridCol w:w="1376"/>
        <w:gridCol w:w="2257"/>
        <w:gridCol w:w="3509"/>
      </w:tblGrid>
      <w:tr w14:paraId="0636F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4" w:type="pct"/>
            <w:shd w:val="clear" w:color="auto" w:fill="D8D8D8" w:themeFill="background1" w:themeFillShade="D9"/>
            <w:vAlign w:val="center"/>
          </w:tcPr>
          <w:p w14:paraId="1B93B73B">
            <w:pPr>
              <w:adjustRightInd w:val="0"/>
              <w:snapToGrid w:val="0"/>
              <w:spacing w:after="0" w:line="408" w:lineRule="auto"/>
              <w:jc w:val="center"/>
              <w:rPr>
                <w:rFonts w:hint="eastAsia" w:ascii="仿宋" w:hAnsi="仿宋" w:eastAsia="仿宋"/>
                <w:b/>
                <w:snapToGrid w:val="0"/>
                <w:kern w:val="0"/>
                <w:sz w:val="18"/>
                <w:szCs w:val="21"/>
              </w:rPr>
            </w:pPr>
            <w:r>
              <w:rPr>
                <w:rFonts w:hint="eastAsia" w:ascii="仿宋" w:hAnsi="仿宋" w:eastAsia="仿宋"/>
                <w:b/>
                <w:snapToGrid w:val="0"/>
                <w:kern w:val="0"/>
                <w:sz w:val="18"/>
                <w:szCs w:val="21"/>
              </w:rPr>
              <w:t>一级指标</w:t>
            </w:r>
          </w:p>
        </w:tc>
        <w:tc>
          <w:tcPr>
            <w:tcW w:w="872" w:type="pct"/>
            <w:shd w:val="clear" w:color="auto" w:fill="D8D8D8" w:themeFill="background1" w:themeFillShade="D9"/>
            <w:vAlign w:val="center"/>
          </w:tcPr>
          <w:p w14:paraId="0CE911AD">
            <w:pPr>
              <w:adjustRightInd w:val="0"/>
              <w:snapToGrid w:val="0"/>
              <w:spacing w:after="0" w:line="408" w:lineRule="auto"/>
              <w:jc w:val="center"/>
              <w:rPr>
                <w:rFonts w:hint="eastAsia" w:ascii="仿宋" w:hAnsi="仿宋" w:eastAsia="仿宋"/>
                <w:b/>
                <w:snapToGrid w:val="0"/>
                <w:kern w:val="0"/>
                <w:sz w:val="18"/>
                <w:szCs w:val="21"/>
              </w:rPr>
            </w:pPr>
            <w:r>
              <w:rPr>
                <w:rFonts w:hint="eastAsia" w:ascii="仿宋" w:hAnsi="仿宋" w:eastAsia="仿宋"/>
                <w:b/>
                <w:snapToGrid w:val="0"/>
                <w:kern w:val="0"/>
                <w:sz w:val="18"/>
                <w:szCs w:val="21"/>
              </w:rPr>
              <w:t>二级指标</w:t>
            </w:r>
          </w:p>
        </w:tc>
        <w:tc>
          <w:tcPr>
            <w:tcW w:w="698" w:type="pct"/>
            <w:shd w:val="clear" w:color="auto" w:fill="D8D8D8" w:themeFill="background1" w:themeFillShade="D9"/>
            <w:vAlign w:val="center"/>
          </w:tcPr>
          <w:p w14:paraId="6457D903">
            <w:pPr>
              <w:adjustRightInd w:val="0"/>
              <w:snapToGrid w:val="0"/>
              <w:spacing w:after="0" w:line="408" w:lineRule="auto"/>
              <w:jc w:val="center"/>
              <w:rPr>
                <w:rFonts w:hint="eastAsia" w:ascii="仿宋" w:hAnsi="仿宋" w:eastAsia="仿宋"/>
                <w:b/>
                <w:snapToGrid w:val="0"/>
                <w:kern w:val="0"/>
                <w:sz w:val="18"/>
                <w:szCs w:val="21"/>
              </w:rPr>
            </w:pPr>
            <w:r>
              <w:rPr>
                <w:rFonts w:hint="eastAsia" w:ascii="仿宋" w:hAnsi="仿宋" w:eastAsia="仿宋"/>
                <w:b/>
                <w:snapToGrid w:val="0"/>
                <w:kern w:val="0"/>
                <w:sz w:val="18"/>
                <w:szCs w:val="21"/>
              </w:rPr>
              <w:t>三级指标</w:t>
            </w:r>
          </w:p>
        </w:tc>
        <w:tc>
          <w:tcPr>
            <w:tcW w:w="1145" w:type="pct"/>
            <w:shd w:val="clear" w:color="auto" w:fill="D8D8D8" w:themeFill="background1" w:themeFillShade="D9"/>
            <w:vAlign w:val="center"/>
          </w:tcPr>
          <w:p w14:paraId="192D26A7">
            <w:pPr>
              <w:adjustRightInd w:val="0"/>
              <w:snapToGrid w:val="0"/>
              <w:spacing w:after="0" w:line="408" w:lineRule="auto"/>
              <w:jc w:val="center"/>
              <w:rPr>
                <w:rFonts w:hint="eastAsia" w:ascii="仿宋" w:hAnsi="仿宋" w:eastAsia="仿宋"/>
                <w:b/>
                <w:snapToGrid w:val="0"/>
                <w:kern w:val="0"/>
                <w:sz w:val="18"/>
                <w:szCs w:val="21"/>
              </w:rPr>
            </w:pPr>
            <w:r>
              <w:rPr>
                <w:rFonts w:hint="eastAsia" w:ascii="仿宋" w:hAnsi="仿宋" w:eastAsia="仿宋"/>
                <w:b/>
                <w:snapToGrid w:val="0"/>
                <w:kern w:val="0"/>
                <w:sz w:val="18"/>
                <w:szCs w:val="21"/>
              </w:rPr>
              <w:t>指标解释</w:t>
            </w:r>
          </w:p>
        </w:tc>
        <w:tc>
          <w:tcPr>
            <w:tcW w:w="1780" w:type="pct"/>
            <w:shd w:val="clear" w:color="auto" w:fill="D8D8D8" w:themeFill="background1" w:themeFillShade="D9"/>
            <w:vAlign w:val="center"/>
          </w:tcPr>
          <w:p w14:paraId="743090FB">
            <w:pPr>
              <w:adjustRightInd w:val="0"/>
              <w:snapToGrid w:val="0"/>
              <w:spacing w:after="0" w:line="408" w:lineRule="auto"/>
              <w:jc w:val="center"/>
              <w:rPr>
                <w:rFonts w:hint="eastAsia" w:ascii="仿宋" w:hAnsi="仿宋" w:eastAsia="仿宋"/>
                <w:b/>
                <w:snapToGrid w:val="0"/>
                <w:kern w:val="0"/>
                <w:sz w:val="18"/>
                <w:szCs w:val="21"/>
              </w:rPr>
            </w:pPr>
            <w:r>
              <w:rPr>
                <w:rFonts w:hint="eastAsia" w:ascii="仿宋" w:hAnsi="仿宋" w:eastAsia="仿宋"/>
                <w:b/>
                <w:snapToGrid w:val="0"/>
                <w:kern w:val="0"/>
                <w:sz w:val="18"/>
                <w:szCs w:val="21"/>
              </w:rPr>
              <w:t>评分标准</w:t>
            </w:r>
          </w:p>
        </w:tc>
      </w:tr>
      <w:tr w14:paraId="6AB5C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4" w:type="pct"/>
            <w:vMerge w:val="restart"/>
            <w:shd w:val="clear" w:color="auto" w:fill="auto"/>
            <w:vAlign w:val="center"/>
          </w:tcPr>
          <w:p w14:paraId="7478FBD2">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决策(16%）</w:t>
            </w:r>
          </w:p>
        </w:tc>
        <w:tc>
          <w:tcPr>
            <w:tcW w:w="872" w:type="pct"/>
            <w:vMerge w:val="restart"/>
            <w:shd w:val="clear" w:color="auto" w:fill="auto"/>
            <w:vAlign w:val="center"/>
          </w:tcPr>
          <w:p w14:paraId="60619B5A">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项目立项（6分）</w:t>
            </w:r>
          </w:p>
        </w:tc>
        <w:tc>
          <w:tcPr>
            <w:tcW w:w="698" w:type="pct"/>
            <w:shd w:val="clear" w:color="auto" w:fill="auto"/>
            <w:vAlign w:val="center"/>
          </w:tcPr>
          <w:p w14:paraId="1B91B379">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立项依据充分性（3分）</w:t>
            </w:r>
          </w:p>
        </w:tc>
        <w:tc>
          <w:tcPr>
            <w:tcW w:w="1145" w:type="pct"/>
            <w:shd w:val="clear" w:color="auto" w:fill="auto"/>
            <w:vAlign w:val="center"/>
          </w:tcPr>
          <w:p w14:paraId="3F9EF263">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项目立项是否符合法律法规、相关政策、发展规划以及部门职责，用以反映和考核项目立项依据情况。</w:t>
            </w:r>
          </w:p>
        </w:tc>
        <w:tc>
          <w:tcPr>
            <w:tcW w:w="1780" w:type="pct"/>
            <w:shd w:val="clear" w:color="auto" w:fill="auto"/>
            <w:vAlign w:val="center"/>
          </w:tcPr>
          <w:p w14:paraId="4FC59A1A">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评价要点：</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①项目立项是否符合国家法律法规、国民经济发展规划和相关政策；</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②项目立项是否符合行业发展规划和政策要求；</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③项目立项是否与部门职责范围相符，属于部门履职所需；</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④项目是否属于公共财政支持范围，是否符合中央、地方事权支出责任划分原则；</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⑤项目是否与相关部门同类项目或部门内部相关项目重复。</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一项不符扣0.6分，扣完为止。</w:t>
            </w:r>
          </w:p>
        </w:tc>
      </w:tr>
      <w:tr w14:paraId="15649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4" w:type="pct"/>
            <w:vMerge w:val="continue"/>
            <w:shd w:val="clear" w:color="auto" w:fill="auto"/>
            <w:vAlign w:val="center"/>
          </w:tcPr>
          <w:p w14:paraId="70B7FE26">
            <w:pPr>
              <w:adjustRightInd w:val="0"/>
              <w:snapToGrid w:val="0"/>
              <w:spacing w:after="0" w:line="408" w:lineRule="auto"/>
              <w:rPr>
                <w:rFonts w:hint="eastAsia" w:ascii="仿宋" w:hAnsi="仿宋" w:eastAsia="仿宋"/>
                <w:bCs/>
                <w:snapToGrid w:val="0"/>
                <w:kern w:val="0"/>
                <w:sz w:val="18"/>
                <w:szCs w:val="21"/>
              </w:rPr>
            </w:pPr>
          </w:p>
        </w:tc>
        <w:tc>
          <w:tcPr>
            <w:tcW w:w="872" w:type="pct"/>
            <w:vMerge w:val="continue"/>
            <w:shd w:val="clear" w:color="auto" w:fill="auto"/>
            <w:vAlign w:val="center"/>
          </w:tcPr>
          <w:p w14:paraId="5D9DDBD5">
            <w:pPr>
              <w:adjustRightInd w:val="0"/>
              <w:snapToGrid w:val="0"/>
              <w:spacing w:after="0" w:line="408" w:lineRule="auto"/>
              <w:rPr>
                <w:rFonts w:hint="eastAsia" w:ascii="仿宋" w:hAnsi="仿宋" w:eastAsia="仿宋"/>
                <w:bCs/>
                <w:snapToGrid w:val="0"/>
                <w:kern w:val="0"/>
                <w:sz w:val="18"/>
                <w:szCs w:val="21"/>
              </w:rPr>
            </w:pPr>
          </w:p>
        </w:tc>
        <w:tc>
          <w:tcPr>
            <w:tcW w:w="698" w:type="pct"/>
            <w:shd w:val="clear" w:color="auto" w:fill="auto"/>
            <w:vAlign w:val="center"/>
          </w:tcPr>
          <w:p w14:paraId="0C07671A">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立项程序规范性（3分）</w:t>
            </w:r>
          </w:p>
        </w:tc>
        <w:tc>
          <w:tcPr>
            <w:tcW w:w="1145" w:type="pct"/>
            <w:shd w:val="clear" w:color="auto" w:fill="auto"/>
            <w:vAlign w:val="center"/>
          </w:tcPr>
          <w:p w14:paraId="130B196E">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项目申请、设立过程是否符合相关要求，用以反映和考核项目立项的规范情况。</w:t>
            </w:r>
          </w:p>
        </w:tc>
        <w:tc>
          <w:tcPr>
            <w:tcW w:w="1780" w:type="pct"/>
            <w:shd w:val="clear" w:color="auto" w:fill="auto"/>
            <w:vAlign w:val="center"/>
          </w:tcPr>
          <w:p w14:paraId="2BDB414B">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评价要点：</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①项目是否按照规定的程序申请设立；</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②审批文件、材料是否符合相关要求；</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③事前是否已经过必要的可行性研究、专家论证、风险评估、绩效评估、集体决策。</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一项不符扣1分，扣完为止。</w:t>
            </w:r>
          </w:p>
        </w:tc>
      </w:tr>
      <w:tr w14:paraId="1AB25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4" w:type="pct"/>
            <w:vMerge w:val="continue"/>
            <w:shd w:val="clear" w:color="auto" w:fill="auto"/>
            <w:vAlign w:val="center"/>
          </w:tcPr>
          <w:p w14:paraId="5153E120">
            <w:pPr>
              <w:adjustRightInd w:val="0"/>
              <w:snapToGrid w:val="0"/>
              <w:spacing w:after="0" w:line="408" w:lineRule="auto"/>
              <w:rPr>
                <w:rFonts w:hint="eastAsia" w:ascii="仿宋" w:hAnsi="仿宋" w:eastAsia="仿宋"/>
                <w:bCs/>
                <w:snapToGrid w:val="0"/>
                <w:kern w:val="0"/>
                <w:sz w:val="18"/>
                <w:szCs w:val="21"/>
              </w:rPr>
            </w:pPr>
          </w:p>
        </w:tc>
        <w:tc>
          <w:tcPr>
            <w:tcW w:w="872" w:type="pct"/>
            <w:vMerge w:val="restart"/>
            <w:shd w:val="clear" w:color="auto" w:fill="auto"/>
            <w:vAlign w:val="center"/>
          </w:tcPr>
          <w:p w14:paraId="19F07666">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绩效目标（6分）</w:t>
            </w:r>
          </w:p>
        </w:tc>
        <w:tc>
          <w:tcPr>
            <w:tcW w:w="698" w:type="pct"/>
            <w:shd w:val="clear" w:color="auto" w:fill="auto"/>
            <w:vAlign w:val="center"/>
          </w:tcPr>
          <w:p w14:paraId="38FADE81">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绩效目标合理性（3分）</w:t>
            </w:r>
          </w:p>
        </w:tc>
        <w:tc>
          <w:tcPr>
            <w:tcW w:w="1145" w:type="pct"/>
            <w:shd w:val="clear" w:color="auto" w:fill="auto"/>
            <w:vAlign w:val="center"/>
          </w:tcPr>
          <w:p w14:paraId="0B36BE3A">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项目所设定的绩效目标是否依据充分，是否符合客观实际，用以反映和考核项目绩效目标与项目实施的相符情况。</w:t>
            </w:r>
          </w:p>
        </w:tc>
        <w:tc>
          <w:tcPr>
            <w:tcW w:w="1780" w:type="pct"/>
            <w:shd w:val="clear" w:color="auto" w:fill="auto"/>
            <w:vAlign w:val="center"/>
          </w:tcPr>
          <w:p w14:paraId="4E2C75DC">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评价要点：</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①项目是否有绩效目标；</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②项目绩效目标与实际工作内容是否具有相关性；</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③项目预期产出效益和效果是否符合正常的业绩水平；</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④是否与预算确定的项目投资额或资金量相匹配。</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一项不符扣1分，扣完为止。</w:t>
            </w:r>
          </w:p>
        </w:tc>
      </w:tr>
      <w:tr w14:paraId="5A46E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4" w:type="pct"/>
            <w:vMerge w:val="continue"/>
            <w:shd w:val="clear" w:color="auto" w:fill="auto"/>
            <w:vAlign w:val="center"/>
          </w:tcPr>
          <w:p w14:paraId="35496962">
            <w:pPr>
              <w:adjustRightInd w:val="0"/>
              <w:snapToGrid w:val="0"/>
              <w:spacing w:after="0" w:line="408" w:lineRule="auto"/>
              <w:rPr>
                <w:rFonts w:hint="eastAsia" w:ascii="仿宋" w:hAnsi="仿宋" w:eastAsia="仿宋"/>
                <w:bCs/>
                <w:snapToGrid w:val="0"/>
                <w:kern w:val="0"/>
                <w:sz w:val="18"/>
                <w:szCs w:val="21"/>
              </w:rPr>
            </w:pPr>
          </w:p>
        </w:tc>
        <w:tc>
          <w:tcPr>
            <w:tcW w:w="872" w:type="pct"/>
            <w:vMerge w:val="continue"/>
            <w:shd w:val="clear" w:color="auto" w:fill="auto"/>
            <w:vAlign w:val="center"/>
          </w:tcPr>
          <w:p w14:paraId="5C5C9424">
            <w:pPr>
              <w:adjustRightInd w:val="0"/>
              <w:snapToGrid w:val="0"/>
              <w:spacing w:after="0" w:line="408" w:lineRule="auto"/>
              <w:rPr>
                <w:rFonts w:hint="eastAsia" w:ascii="仿宋" w:hAnsi="仿宋" w:eastAsia="仿宋"/>
                <w:bCs/>
                <w:snapToGrid w:val="0"/>
                <w:kern w:val="0"/>
                <w:sz w:val="18"/>
                <w:szCs w:val="21"/>
              </w:rPr>
            </w:pPr>
          </w:p>
        </w:tc>
        <w:tc>
          <w:tcPr>
            <w:tcW w:w="698" w:type="pct"/>
            <w:shd w:val="clear" w:color="auto" w:fill="auto"/>
            <w:vAlign w:val="center"/>
          </w:tcPr>
          <w:p w14:paraId="66AC041D">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绩效目标明确性（3分）</w:t>
            </w:r>
          </w:p>
        </w:tc>
        <w:tc>
          <w:tcPr>
            <w:tcW w:w="1145" w:type="pct"/>
            <w:shd w:val="clear" w:color="auto" w:fill="auto"/>
            <w:vAlign w:val="center"/>
          </w:tcPr>
          <w:p w14:paraId="7026C0F9">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依据绩效目标设定的绩效指标是否清晰、细化、可衡量等，用以反映和考核项目绩效目标的明细化情况。</w:t>
            </w:r>
          </w:p>
        </w:tc>
        <w:tc>
          <w:tcPr>
            <w:tcW w:w="1780" w:type="pct"/>
            <w:shd w:val="clear" w:color="auto" w:fill="auto"/>
            <w:vAlign w:val="center"/>
          </w:tcPr>
          <w:p w14:paraId="19C5F4A4">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评价要点：</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①是否将项目绩效目标细化分解为具体的绩效指标；</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②是否通过清晰、可衡量的指标值予以体现；</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③是否与项目目标任务数或计划数相对应。</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一项不符扣1分，扣完为止。</w:t>
            </w:r>
          </w:p>
        </w:tc>
      </w:tr>
      <w:tr w14:paraId="6E6BC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4" w:type="pct"/>
            <w:vMerge w:val="continue"/>
            <w:shd w:val="clear" w:color="auto" w:fill="auto"/>
            <w:vAlign w:val="center"/>
          </w:tcPr>
          <w:p w14:paraId="1C9A57C3">
            <w:pPr>
              <w:adjustRightInd w:val="0"/>
              <w:snapToGrid w:val="0"/>
              <w:spacing w:after="0" w:line="408" w:lineRule="auto"/>
              <w:rPr>
                <w:rFonts w:hint="eastAsia" w:ascii="仿宋" w:hAnsi="仿宋" w:eastAsia="仿宋"/>
                <w:bCs/>
                <w:snapToGrid w:val="0"/>
                <w:kern w:val="0"/>
                <w:sz w:val="18"/>
                <w:szCs w:val="21"/>
              </w:rPr>
            </w:pPr>
          </w:p>
        </w:tc>
        <w:tc>
          <w:tcPr>
            <w:tcW w:w="872" w:type="pct"/>
            <w:vMerge w:val="restart"/>
            <w:shd w:val="clear" w:color="auto" w:fill="auto"/>
            <w:vAlign w:val="center"/>
          </w:tcPr>
          <w:p w14:paraId="682592ED">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资金投入（4分）</w:t>
            </w:r>
          </w:p>
        </w:tc>
        <w:tc>
          <w:tcPr>
            <w:tcW w:w="698" w:type="pct"/>
            <w:shd w:val="clear" w:color="auto" w:fill="auto"/>
            <w:vAlign w:val="center"/>
          </w:tcPr>
          <w:p w14:paraId="04828C0E">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预算编制科学性（2分）</w:t>
            </w:r>
          </w:p>
        </w:tc>
        <w:tc>
          <w:tcPr>
            <w:tcW w:w="1145" w:type="pct"/>
            <w:shd w:val="clear" w:color="auto" w:fill="auto"/>
            <w:vAlign w:val="center"/>
          </w:tcPr>
          <w:p w14:paraId="1F43B587">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项目预算编制是否经过科学论证、有明确标准，资金额度与年度目标是否相适应，用以反映和考核项目预算编制的科学性、合理性情况。</w:t>
            </w:r>
          </w:p>
        </w:tc>
        <w:tc>
          <w:tcPr>
            <w:tcW w:w="1780" w:type="pct"/>
            <w:shd w:val="clear" w:color="auto" w:fill="auto"/>
            <w:vAlign w:val="center"/>
          </w:tcPr>
          <w:p w14:paraId="0397B79D">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评价要点：</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①预算编制是否经过科学论证；</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②预算内容与项目内容是否匹配；</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③预算额度测算依据是否充分，是否</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按照标准编制；</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④预算确定的项目投资额或资金量是</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否与工作任务相匹配。</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一项不符扣0.5分，扣完为止。</w:t>
            </w:r>
          </w:p>
        </w:tc>
      </w:tr>
      <w:tr w14:paraId="65E2D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4" w:type="pct"/>
            <w:vMerge w:val="continue"/>
            <w:shd w:val="clear" w:color="auto" w:fill="auto"/>
            <w:vAlign w:val="center"/>
          </w:tcPr>
          <w:p w14:paraId="12430C6A">
            <w:pPr>
              <w:adjustRightInd w:val="0"/>
              <w:snapToGrid w:val="0"/>
              <w:spacing w:after="0" w:line="408" w:lineRule="auto"/>
              <w:rPr>
                <w:rFonts w:hint="eastAsia" w:ascii="仿宋" w:hAnsi="仿宋" w:eastAsia="仿宋"/>
                <w:bCs/>
                <w:snapToGrid w:val="0"/>
                <w:kern w:val="0"/>
                <w:sz w:val="18"/>
                <w:szCs w:val="21"/>
              </w:rPr>
            </w:pPr>
          </w:p>
        </w:tc>
        <w:tc>
          <w:tcPr>
            <w:tcW w:w="872" w:type="pct"/>
            <w:vMerge w:val="continue"/>
            <w:shd w:val="clear" w:color="auto" w:fill="auto"/>
            <w:vAlign w:val="center"/>
          </w:tcPr>
          <w:p w14:paraId="313FE938">
            <w:pPr>
              <w:adjustRightInd w:val="0"/>
              <w:snapToGrid w:val="0"/>
              <w:spacing w:after="0" w:line="408" w:lineRule="auto"/>
              <w:rPr>
                <w:rFonts w:hint="eastAsia" w:ascii="仿宋" w:hAnsi="仿宋" w:eastAsia="仿宋"/>
                <w:bCs/>
                <w:snapToGrid w:val="0"/>
                <w:kern w:val="0"/>
                <w:sz w:val="18"/>
                <w:szCs w:val="21"/>
              </w:rPr>
            </w:pPr>
          </w:p>
        </w:tc>
        <w:tc>
          <w:tcPr>
            <w:tcW w:w="698" w:type="pct"/>
            <w:shd w:val="clear" w:color="auto" w:fill="auto"/>
            <w:vAlign w:val="center"/>
          </w:tcPr>
          <w:p w14:paraId="7BE2D159">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资金分配合理性（2分）</w:t>
            </w:r>
          </w:p>
        </w:tc>
        <w:tc>
          <w:tcPr>
            <w:tcW w:w="1145" w:type="pct"/>
            <w:shd w:val="clear" w:color="auto" w:fill="auto"/>
            <w:vAlign w:val="center"/>
          </w:tcPr>
          <w:p w14:paraId="47863287">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项目预算资金分配是否有测算依据；与补助单位或地方实际是否相适应。用以反映和考核项目预算资金分配的科学性、合理性情况。</w:t>
            </w:r>
          </w:p>
        </w:tc>
        <w:tc>
          <w:tcPr>
            <w:tcW w:w="1780" w:type="pct"/>
            <w:shd w:val="clear" w:color="auto" w:fill="auto"/>
            <w:vAlign w:val="center"/>
          </w:tcPr>
          <w:p w14:paraId="024D2DCD">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评价要点：</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①预算资金分配依据是否充分；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②资金分配额度是否合理，与项目单位或地方实际是否相适应。</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一项不符扣1分，扣完为止。</w:t>
            </w:r>
          </w:p>
        </w:tc>
      </w:tr>
      <w:tr w14:paraId="299F7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4" w:type="pct"/>
            <w:vMerge w:val="restart"/>
            <w:shd w:val="clear" w:color="auto" w:fill="auto"/>
            <w:vAlign w:val="center"/>
          </w:tcPr>
          <w:p w14:paraId="47771FEC">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过程（20%）</w:t>
            </w:r>
          </w:p>
        </w:tc>
        <w:tc>
          <w:tcPr>
            <w:tcW w:w="872" w:type="pct"/>
            <w:vMerge w:val="restart"/>
            <w:shd w:val="clear" w:color="auto" w:fill="auto"/>
            <w:vAlign w:val="center"/>
          </w:tcPr>
          <w:p w14:paraId="40107567">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绩效管理（9分）</w:t>
            </w:r>
          </w:p>
        </w:tc>
        <w:tc>
          <w:tcPr>
            <w:tcW w:w="698" w:type="pct"/>
            <w:shd w:val="clear" w:color="auto" w:fill="auto"/>
            <w:vAlign w:val="center"/>
          </w:tcPr>
          <w:p w14:paraId="5274D3FF">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绩效自评合规性（3分）</w:t>
            </w:r>
          </w:p>
        </w:tc>
        <w:tc>
          <w:tcPr>
            <w:tcW w:w="1145" w:type="pct"/>
            <w:shd w:val="clear" w:color="auto" w:fill="auto"/>
            <w:vAlign w:val="center"/>
          </w:tcPr>
          <w:p w14:paraId="66F5C6D6">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是否按要求开展绩效自评工作；绩效自评报告是否报送及时，绩效自评是否真实可靠。</w:t>
            </w:r>
          </w:p>
        </w:tc>
        <w:tc>
          <w:tcPr>
            <w:tcW w:w="1780" w:type="pct"/>
            <w:shd w:val="clear" w:color="auto" w:fill="auto"/>
            <w:vAlign w:val="center"/>
          </w:tcPr>
          <w:p w14:paraId="7DD9DA7A">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评价要点：</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①是否按要求开展绩效自评工作；</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②绩效自评报告是否报送及时；</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③绩效自评报告是否完整，数据是否全面、真实、准确，绩效指标是否细化量化和科学合理；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一项不符扣1分，扣完为止。</w:t>
            </w:r>
          </w:p>
        </w:tc>
      </w:tr>
      <w:tr w14:paraId="7A59E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4" w:type="pct"/>
            <w:vMerge w:val="continue"/>
            <w:shd w:val="clear" w:color="auto" w:fill="auto"/>
            <w:vAlign w:val="center"/>
          </w:tcPr>
          <w:p w14:paraId="3E472BFE">
            <w:pPr>
              <w:adjustRightInd w:val="0"/>
              <w:snapToGrid w:val="0"/>
              <w:spacing w:after="0" w:line="408" w:lineRule="auto"/>
              <w:rPr>
                <w:rFonts w:hint="eastAsia" w:ascii="仿宋" w:hAnsi="仿宋" w:eastAsia="仿宋"/>
                <w:bCs/>
                <w:snapToGrid w:val="0"/>
                <w:kern w:val="0"/>
                <w:sz w:val="18"/>
                <w:szCs w:val="21"/>
              </w:rPr>
            </w:pPr>
          </w:p>
        </w:tc>
        <w:tc>
          <w:tcPr>
            <w:tcW w:w="872" w:type="pct"/>
            <w:vMerge w:val="continue"/>
            <w:shd w:val="clear" w:color="auto" w:fill="auto"/>
            <w:vAlign w:val="center"/>
          </w:tcPr>
          <w:p w14:paraId="4B6F763B">
            <w:pPr>
              <w:adjustRightInd w:val="0"/>
              <w:snapToGrid w:val="0"/>
              <w:spacing w:after="0" w:line="408" w:lineRule="auto"/>
              <w:rPr>
                <w:rFonts w:hint="eastAsia" w:ascii="仿宋" w:hAnsi="仿宋" w:eastAsia="仿宋"/>
                <w:bCs/>
                <w:snapToGrid w:val="0"/>
                <w:kern w:val="0"/>
                <w:sz w:val="18"/>
                <w:szCs w:val="21"/>
              </w:rPr>
            </w:pPr>
          </w:p>
        </w:tc>
        <w:tc>
          <w:tcPr>
            <w:tcW w:w="698" w:type="pct"/>
            <w:shd w:val="clear" w:color="auto" w:fill="auto"/>
            <w:vAlign w:val="center"/>
          </w:tcPr>
          <w:p w14:paraId="0E178FCD">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预算执行率（4分）</w:t>
            </w:r>
          </w:p>
        </w:tc>
        <w:tc>
          <w:tcPr>
            <w:tcW w:w="1145" w:type="pct"/>
            <w:shd w:val="clear" w:color="auto" w:fill="auto"/>
            <w:vAlign w:val="center"/>
          </w:tcPr>
          <w:p w14:paraId="38F46132">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项目预算资金是否按照计划执行，用以反映或考核项目预算执行情况（预算执行率=（实际支出资金/实际到位资金）×100%）。</w:t>
            </w:r>
          </w:p>
        </w:tc>
        <w:tc>
          <w:tcPr>
            <w:tcW w:w="1780" w:type="pct"/>
            <w:shd w:val="clear" w:color="auto" w:fill="auto"/>
            <w:vAlign w:val="center"/>
          </w:tcPr>
          <w:p w14:paraId="12419E13">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评价要点：</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①90%≤预算执行率≤100%，得4分；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②70%≤预算执行率﹤90%，得3分；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③50%≤预算执行率﹤70%，得2分；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④30%≤预算执行率﹤50%，得1分；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⑤预算执行率﹤30%，得0分。</w:t>
            </w:r>
          </w:p>
        </w:tc>
      </w:tr>
      <w:tr w14:paraId="2468B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4" w:type="pct"/>
            <w:vMerge w:val="continue"/>
            <w:shd w:val="clear" w:color="auto" w:fill="auto"/>
            <w:vAlign w:val="center"/>
          </w:tcPr>
          <w:p w14:paraId="131BCA25">
            <w:pPr>
              <w:adjustRightInd w:val="0"/>
              <w:snapToGrid w:val="0"/>
              <w:spacing w:after="0" w:line="408" w:lineRule="auto"/>
              <w:rPr>
                <w:rFonts w:hint="eastAsia" w:ascii="仿宋" w:hAnsi="仿宋" w:eastAsia="仿宋"/>
                <w:bCs/>
                <w:snapToGrid w:val="0"/>
                <w:kern w:val="0"/>
                <w:sz w:val="18"/>
                <w:szCs w:val="21"/>
              </w:rPr>
            </w:pPr>
          </w:p>
        </w:tc>
        <w:tc>
          <w:tcPr>
            <w:tcW w:w="872" w:type="pct"/>
            <w:vMerge w:val="continue"/>
            <w:shd w:val="clear" w:color="auto" w:fill="auto"/>
            <w:vAlign w:val="center"/>
          </w:tcPr>
          <w:p w14:paraId="2C26AD6F">
            <w:pPr>
              <w:adjustRightInd w:val="0"/>
              <w:snapToGrid w:val="0"/>
              <w:spacing w:after="0" w:line="408" w:lineRule="auto"/>
              <w:rPr>
                <w:rFonts w:hint="eastAsia" w:ascii="仿宋" w:hAnsi="仿宋" w:eastAsia="仿宋"/>
                <w:bCs/>
                <w:snapToGrid w:val="0"/>
                <w:kern w:val="0"/>
                <w:sz w:val="18"/>
                <w:szCs w:val="21"/>
              </w:rPr>
            </w:pPr>
          </w:p>
        </w:tc>
        <w:tc>
          <w:tcPr>
            <w:tcW w:w="698" w:type="pct"/>
            <w:shd w:val="clear" w:color="auto" w:fill="auto"/>
            <w:vAlign w:val="center"/>
          </w:tcPr>
          <w:p w14:paraId="62D83372">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资金使用合规性（2分）</w:t>
            </w:r>
          </w:p>
        </w:tc>
        <w:tc>
          <w:tcPr>
            <w:tcW w:w="1145" w:type="pct"/>
            <w:shd w:val="clear" w:color="auto" w:fill="auto"/>
            <w:vAlign w:val="center"/>
          </w:tcPr>
          <w:p w14:paraId="1B3A7821">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项目资金使用是否符合相关的财务管理制度规定，用以反映和考核项目资金的规范运行情况。</w:t>
            </w:r>
          </w:p>
        </w:tc>
        <w:tc>
          <w:tcPr>
            <w:tcW w:w="1780" w:type="pct"/>
            <w:shd w:val="clear" w:color="auto" w:fill="auto"/>
            <w:vAlign w:val="center"/>
          </w:tcPr>
          <w:p w14:paraId="2D1F4A0E">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评价要点：</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①是否符合国家财经法规和财务管理制度以及有关专项资金管理办法的规定；</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②资金的拨付是否有完整的审批程序和手续；</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③是否符合项目预算批复或合同规定的用途；</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④是否存在截留、挤占、挪用、虚列支出等情况。</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一项不符扣0.5分，扣完为止。</w:t>
            </w:r>
          </w:p>
        </w:tc>
      </w:tr>
      <w:tr w14:paraId="6F972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4" w:type="pct"/>
            <w:vMerge w:val="continue"/>
            <w:shd w:val="clear" w:color="auto" w:fill="auto"/>
            <w:vAlign w:val="center"/>
          </w:tcPr>
          <w:p w14:paraId="52D127A0">
            <w:pPr>
              <w:adjustRightInd w:val="0"/>
              <w:snapToGrid w:val="0"/>
              <w:spacing w:after="0" w:line="408" w:lineRule="auto"/>
              <w:rPr>
                <w:rFonts w:hint="eastAsia" w:ascii="仿宋" w:hAnsi="仿宋" w:eastAsia="仿宋"/>
                <w:bCs/>
                <w:snapToGrid w:val="0"/>
                <w:kern w:val="0"/>
                <w:sz w:val="18"/>
                <w:szCs w:val="21"/>
              </w:rPr>
            </w:pPr>
          </w:p>
        </w:tc>
        <w:tc>
          <w:tcPr>
            <w:tcW w:w="872" w:type="pct"/>
            <w:vMerge w:val="restart"/>
            <w:shd w:val="clear" w:color="auto" w:fill="auto"/>
            <w:vAlign w:val="center"/>
          </w:tcPr>
          <w:p w14:paraId="3CEA15E5">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组织实施（11分）</w:t>
            </w:r>
          </w:p>
        </w:tc>
        <w:tc>
          <w:tcPr>
            <w:tcW w:w="698" w:type="pct"/>
            <w:shd w:val="clear" w:color="auto" w:fill="auto"/>
            <w:vAlign w:val="center"/>
          </w:tcPr>
          <w:p w14:paraId="7B56B3D3">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合同规范性（4分）</w:t>
            </w:r>
          </w:p>
        </w:tc>
        <w:tc>
          <w:tcPr>
            <w:tcW w:w="1145" w:type="pct"/>
            <w:shd w:val="clear" w:color="auto" w:fill="auto"/>
            <w:vAlign w:val="center"/>
          </w:tcPr>
          <w:p w14:paraId="483DAA5A">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合同的签订是否符合《中华人民共和国民法典》的相关规定。</w:t>
            </w:r>
          </w:p>
        </w:tc>
        <w:tc>
          <w:tcPr>
            <w:tcW w:w="1780" w:type="pct"/>
            <w:shd w:val="clear" w:color="auto" w:fill="auto"/>
            <w:vAlign w:val="center"/>
          </w:tcPr>
          <w:p w14:paraId="00BD0C8D">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评价要点：</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①是否双方均进行盖章并签字；</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②是否对付款进度安排进行了约定；</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③是否对权利义务做了明确约定；</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④是否写明合同日期</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一项不符扣1分，扣完为止。</w:t>
            </w:r>
          </w:p>
        </w:tc>
      </w:tr>
      <w:tr w14:paraId="4A5A0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4" w:type="pct"/>
            <w:vMerge w:val="continue"/>
            <w:shd w:val="clear" w:color="auto" w:fill="auto"/>
            <w:vAlign w:val="center"/>
          </w:tcPr>
          <w:p w14:paraId="1906EBB9">
            <w:pPr>
              <w:adjustRightInd w:val="0"/>
              <w:snapToGrid w:val="0"/>
              <w:spacing w:after="0" w:line="408" w:lineRule="auto"/>
              <w:rPr>
                <w:rFonts w:hint="eastAsia" w:ascii="仿宋" w:hAnsi="仿宋" w:eastAsia="仿宋"/>
                <w:bCs/>
                <w:snapToGrid w:val="0"/>
                <w:kern w:val="0"/>
                <w:sz w:val="18"/>
                <w:szCs w:val="21"/>
              </w:rPr>
            </w:pPr>
          </w:p>
        </w:tc>
        <w:tc>
          <w:tcPr>
            <w:tcW w:w="872" w:type="pct"/>
            <w:vMerge w:val="continue"/>
            <w:shd w:val="clear" w:color="auto" w:fill="auto"/>
            <w:vAlign w:val="center"/>
          </w:tcPr>
          <w:p w14:paraId="398DD593">
            <w:pPr>
              <w:adjustRightInd w:val="0"/>
              <w:snapToGrid w:val="0"/>
              <w:spacing w:after="0" w:line="408" w:lineRule="auto"/>
              <w:rPr>
                <w:rFonts w:hint="eastAsia" w:ascii="仿宋" w:hAnsi="仿宋" w:eastAsia="仿宋"/>
                <w:bCs/>
                <w:snapToGrid w:val="0"/>
                <w:kern w:val="0"/>
                <w:sz w:val="18"/>
                <w:szCs w:val="21"/>
              </w:rPr>
            </w:pPr>
          </w:p>
        </w:tc>
        <w:tc>
          <w:tcPr>
            <w:tcW w:w="698" w:type="pct"/>
            <w:shd w:val="clear" w:color="auto" w:fill="auto"/>
            <w:vAlign w:val="center"/>
          </w:tcPr>
          <w:p w14:paraId="1147392E">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履行合同义务的规范性（4分）</w:t>
            </w:r>
          </w:p>
        </w:tc>
        <w:tc>
          <w:tcPr>
            <w:tcW w:w="1145" w:type="pct"/>
            <w:shd w:val="clear" w:color="auto" w:fill="auto"/>
            <w:vAlign w:val="center"/>
          </w:tcPr>
          <w:p w14:paraId="746945D7">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合同在履行的过程中是否按照合同的约定进行履行。</w:t>
            </w:r>
          </w:p>
        </w:tc>
        <w:tc>
          <w:tcPr>
            <w:tcW w:w="1780" w:type="pct"/>
            <w:shd w:val="clear" w:color="auto" w:fill="auto"/>
            <w:vAlign w:val="center"/>
          </w:tcPr>
          <w:p w14:paraId="05A948CA">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评价要点：</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①是否按照合同相关约定的金额；</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②是否按照合同约定的金额开具发票；</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③是否按照开票的金额进行付款；</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④发生合同约定的变更时是否有签订补充协议。</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一项不符扣1分，扣完为止。</w:t>
            </w:r>
          </w:p>
        </w:tc>
      </w:tr>
      <w:tr w14:paraId="590BF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4" w:type="pct"/>
            <w:vMerge w:val="continue"/>
            <w:shd w:val="clear" w:color="auto" w:fill="auto"/>
            <w:vAlign w:val="center"/>
          </w:tcPr>
          <w:p w14:paraId="003F58A1">
            <w:pPr>
              <w:adjustRightInd w:val="0"/>
              <w:snapToGrid w:val="0"/>
              <w:spacing w:after="0" w:line="408" w:lineRule="auto"/>
              <w:rPr>
                <w:rFonts w:hint="eastAsia" w:ascii="仿宋" w:hAnsi="仿宋" w:eastAsia="仿宋"/>
                <w:bCs/>
                <w:snapToGrid w:val="0"/>
                <w:kern w:val="0"/>
                <w:sz w:val="18"/>
                <w:szCs w:val="21"/>
              </w:rPr>
            </w:pPr>
          </w:p>
        </w:tc>
        <w:tc>
          <w:tcPr>
            <w:tcW w:w="872" w:type="pct"/>
            <w:vMerge w:val="continue"/>
            <w:shd w:val="clear" w:color="auto" w:fill="auto"/>
            <w:vAlign w:val="center"/>
          </w:tcPr>
          <w:p w14:paraId="1937BD5B">
            <w:pPr>
              <w:adjustRightInd w:val="0"/>
              <w:snapToGrid w:val="0"/>
              <w:spacing w:after="0" w:line="408" w:lineRule="auto"/>
              <w:rPr>
                <w:rFonts w:hint="eastAsia" w:ascii="仿宋" w:hAnsi="仿宋" w:eastAsia="仿宋"/>
                <w:bCs/>
                <w:snapToGrid w:val="0"/>
                <w:kern w:val="0"/>
                <w:sz w:val="18"/>
                <w:szCs w:val="21"/>
              </w:rPr>
            </w:pPr>
          </w:p>
        </w:tc>
        <w:tc>
          <w:tcPr>
            <w:tcW w:w="698" w:type="pct"/>
            <w:shd w:val="clear" w:color="auto" w:fill="auto"/>
            <w:vAlign w:val="center"/>
          </w:tcPr>
          <w:p w14:paraId="0A680DA0">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付款进度的合规性（1分）</w:t>
            </w:r>
          </w:p>
        </w:tc>
        <w:tc>
          <w:tcPr>
            <w:tcW w:w="1145" w:type="pct"/>
            <w:shd w:val="clear" w:color="auto" w:fill="auto"/>
            <w:vAlign w:val="center"/>
          </w:tcPr>
          <w:p w14:paraId="54DF727F">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付款是否有按照合同的约定进行付款。</w:t>
            </w:r>
          </w:p>
        </w:tc>
        <w:tc>
          <w:tcPr>
            <w:tcW w:w="1780" w:type="pct"/>
            <w:shd w:val="clear" w:color="auto" w:fill="auto"/>
            <w:vAlign w:val="center"/>
          </w:tcPr>
          <w:p w14:paraId="1B384717">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评价要点：</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①是否按照合同约定的付款进度进行付款；</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②付款进度是否缓慢。</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一项不符扣0.5分，扣完为止。</w:t>
            </w:r>
          </w:p>
        </w:tc>
      </w:tr>
      <w:tr w14:paraId="7ED5F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4" w:type="pct"/>
            <w:vMerge w:val="continue"/>
            <w:shd w:val="clear" w:color="auto" w:fill="auto"/>
            <w:vAlign w:val="center"/>
          </w:tcPr>
          <w:p w14:paraId="24E5C784">
            <w:pPr>
              <w:adjustRightInd w:val="0"/>
              <w:snapToGrid w:val="0"/>
              <w:spacing w:after="0" w:line="408" w:lineRule="auto"/>
              <w:rPr>
                <w:rFonts w:hint="eastAsia" w:ascii="仿宋" w:hAnsi="仿宋" w:eastAsia="仿宋"/>
                <w:bCs/>
                <w:snapToGrid w:val="0"/>
                <w:kern w:val="0"/>
                <w:sz w:val="18"/>
                <w:szCs w:val="21"/>
              </w:rPr>
            </w:pPr>
          </w:p>
        </w:tc>
        <w:tc>
          <w:tcPr>
            <w:tcW w:w="872" w:type="pct"/>
            <w:vMerge w:val="continue"/>
            <w:shd w:val="clear" w:color="auto" w:fill="auto"/>
            <w:vAlign w:val="center"/>
          </w:tcPr>
          <w:p w14:paraId="1E23E4ED">
            <w:pPr>
              <w:adjustRightInd w:val="0"/>
              <w:snapToGrid w:val="0"/>
              <w:spacing w:after="0" w:line="408" w:lineRule="auto"/>
              <w:rPr>
                <w:rFonts w:hint="eastAsia" w:ascii="仿宋" w:hAnsi="仿宋" w:eastAsia="仿宋"/>
                <w:bCs/>
                <w:snapToGrid w:val="0"/>
                <w:kern w:val="0"/>
                <w:sz w:val="18"/>
                <w:szCs w:val="21"/>
              </w:rPr>
            </w:pPr>
          </w:p>
        </w:tc>
        <w:tc>
          <w:tcPr>
            <w:tcW w:w="698" w:type="pct"/>
            <w:shd w:val="clear" w:color="auto" w:fill="auto"/>
            <w:vAlign w:val="center"/>
          </w:tcPr>
          <w:p w14:paraId="621226FF">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对项目实施情况的了解程度（2分）</w:t>
            </w:r>
          </w:p>
        </w:tc>
        <w:tc>
          <w:tcPr>
            <w:tcW w:w="1145" w:type="pct"/>
            <w:shd w:val="clear" w:color="auto" w:fill="auto"/>
            <w:vAlign w:val="center"/>
          </w:tcPr>
          <w:p w14:paraId="6D6EE8BD">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主管单位对项目的开展及实施情况是否了解。</w:t>
            </w:r>
          </w:p>
        </w:tc>
        <w:tc>
          <w:tcPr>
            <w:tcW w:w="1780" w:type="pct"/>
            <w:shd w:val="clear" w:color="auto" w:fill="auto"/>
            <w:vAlign w:val="center"/>
          </w:tcPr>
          <w:p w14:paraId="52E38E46">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评价要点：</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①是否充足了解项目的开展情况；</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②是否充足了解项目的实施的过程。</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一项不符扣1分，扣完为止。</w:t>
            </w:r>
          </w:p>
        </w:tc>
      </w:tr>
      <w:tr w14:paraId="718EB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4" w:type="pct"/>
            <w:vMerge w:val="restart"/>
            <w:shd w:val="clear" w:color="auto" w:fill="auto"/>
            <w:vAlign w:val="center"/>
          </w:tcPr>
          <w:p w14:paraId="34D91D30">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产出（30%）</w:t>
            </w:r>
          </w:p>
        </w:tc>
        <w:tc>
          <w:tcPr>
            <w:tcW w:w="872" w:type="pct"/>
            <w:vMerge w:val="restart"/>
            <w:shd w:val="clear" w:color="auto" w:fill="auto"/>
            <w:vAlign w:val="center"/>
          </w:tcPr>
          <w:p w14:paraId="08417E2D">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产出数量（20分）</w:t>
            </w:r>
          </w:p>
        </w:tc>
        <w:tc>
          <w:tcPr>
            <w:tcW w:w="698" w:type="pct"/>
            <w:shd w:val="clear" w:color="auto" w:fill="auto"/>
            <w:vAlign w:val="center"/>
          </w:tcPr>
          <w:p w14:paraId="53923F9D">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整治道路排查隐患点的数量（4分）</w:t>
            </w:r>
          </w:p>
        </w:tc>
        <w:tc>
          <w:tcPr>
            <w:tcW w:w="1145" w:type="pct"/>
            <w:shd w:val="clear" w:color="auto" w:fill="auto"/>
            <w:vAlign w:val="center"/>
          </w:tcPr>
          <w:p w14:paraId="2C9F5DE0">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本年度整治道路排查隐患点的数量，用于考核道路整治的努力程度。</w:t>
            </w:r>
          </w:p>
        </w:tc>
        <w:tc>
          <w:tcPr>
            <w:tcW w:w="1780" w:type="pct"/>
            <w:shd w:val="clear" w:color="auto" w:fill="auto"/>
            <w:vAlign w:val="center"/>
          </w:tcPr>
          <w:p w14:paraId="78E12D2B">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评价要点：</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①排查隐患点≥50次，得4分；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②50次&gt;排查隐患点≥45次，得3分；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③45次&gt;排查隐患点≥40次，得2分；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④40次&gt;排查隐患点≥35次，得1分；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⑤30次&gt;排查隐患点，得0分。</w:t>
            </w:r>
          </w:p>
        </w:tc>
      </w:tr>
      <w:tr w14:paraId="184AF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4" w:type="pct"/>
            <w:vMerge w:val="continue"/>
            <w:shd w:val="clear" w:color="auto" w:fill="auto"/>
            <w:vAlign w:val="center"/>
          </w:tcPr>
          <w:p w14:paraId="16AF556C">
            <w:pPr>
              <w:adjustRightInd w:val="0"/>
              <w:snapToGrid w:val="0"/>
              <w:spacing w:after="0" w:line="408" w:lineRule="auto"/>
              <w:rPr>
                <w:rFonts w:hint="eastAsia" w:ascii="仿宋" w:hAnsi="仿宋" w:eastAsia="仿宋"/>
                <w:bCs/>
                <w:snapToGrid w:val="0"/>
                <w:kern w:val="0"/>
                <w:sz w:val="18"/>
                <w:szCs w:val="21"/>
              </w:rPr>
            </w:pPr>
          </w:p>
        </w:tc>
        <w:tc>
          <w:tcPr>
            <w:tcW w:w="872" w:type="pct"/>
            <w:vMerge w:val="continue"/>
            <w:shd w:val="clear" w:color="auto" w:fill="auto"/>
            <w:vAlign w:val="center"/>
          </w:tcPr>
          <w:p w14:paraId="5F6CBF23">
            <w:pPr>
              <w:adjustRightInd w:val="0"/>
              <w:snapToGrid w:val="0"/>
              <w:spacing w:after="0" w:line="408" w:lineRule="auto"/>
              <w:rPr>
                <w:rFonts w:hint="eastAsia" w:ascii="仿宋" w:hAnsi="仿宋" w:eastAsia="仿宋"/>
                <w:bCs/>
                <w:snapToGrid w:val="0"/>
                <w:kern w:val="0"/>
                <w:sz w:val="18"/>
                <w:szCs w:val="21"/>
              </w:rPr>
            </w:pPr>
          </w:p>
        </w:tc>
        <w:tc>
          <w:tcPr>
            <w:tcW w:w="698" w:type="pct"/>
            <w:shd w:val="clear" w:color="auto" w:fill="auto"/>
            <w:vAlign w:val="center"/>
          </w:tcPr>
          <w:p w14:paraId="69ED96AD">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交通事故死亡人数（4分）</w:t>
            </w:r>
          </w:p>
        </w:tc>
        <w:tc>
          <w:tcPr>
            <w:tcW w:w="1145" w:type="pct"/>
            <w:shd w:val="clear" w:color="auto" w:fill="auto"/>
            <w:vAlign w:val="center"/>
          </w:tcPr>
          <w:p w14:paraId="5ABA5971">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本年度在交通事故中死亡的人数。</w:t>
            </w:r>
          </w:p>
        </w:tc>
        <w:tc>
          <w:tcPr>
            <w:tcW w:w="1780" w:type="pct"/>
            <w:shd w:val="clear" w:color="auto" w:fill="auto"/>
            <w:vAlign w:val="center"/>
          </w:tcPr>
          <w:p w14:paraId="3A0621C9">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评价要点：</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①死亡人数≤13人，得4分；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②13人﹤死亡人数≤15人，得3分；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③15人﹤死亡人数≤17人，得2分；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④17人﹤死亡人数≤19人，得1分；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⑤19人﹤死亡人数，得0分。</w:t>
            </w:r>
          </w:p>
        </w:tc>
      </w:tr>
      <w:tr w14:paraId="6FCB1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4" w:type="pct"/>
            <w:vMerge w:val="continue"/>
            <w:shd w:val="clear" w:color="auto" w:fill="auto"/>
            <w:vAlign w:val="center"/>
          </w:tcPr>
          <w:p w14:paraId="7374DADD">
            <w:pPr>
              <w:adjustRightInd w:val="0"/>
              <w:snapToGrid w:val="0"/>
              <w:spacing w:after="0" w:line="408" w:lineRule="auto"/>
              <w:rPr>
                <w:rFonts w:hint="eastAsia" w:ascii="仿宋" w:hAnsi="仿宋" w:eastAsia="仿宋"/>
                <w:bCs/>
                <w:snapToGrid w:val="0"/>
                <w:kern w:val="0"/>
                <w:sz w:val="18"/>
                <w:szCs w:val="21"/>
              </w:rPr>
            </w:pPr>
          </w:p>
        </w:tc>
        <w:tc>
          <w:tcPr>
            <w:tcW w:w="872" w:type="pct"/>
            <w:vMerge w:val="continue"/>
            <w:shd w:val="clear" w:color="auto" w:fill="auto"/>
            <w:vAlign w:val="center"/>
          </w:tcPr>
          <w:p w14:paraId="64FD3BF5">
            <w:pPr>
              <w:adjustRightInd w:val="0"/>
              <w:snapToGrid w:val="0"/>
              <w:spacing w:after="0" w:line="408" w:lineRule="auto"/>
              <w:rPr>
                <w:rFonts w:hint="eastAsia" w:ascii="仿宋" w:hAnsi="仿宋" w:eastAsia="仿宋"/>
                <w:bCs/>
                <w:snapToGrid w:val="0"/>
                <w:kern w:val="0"/>
                <w:sz w:val="18"/>
                <w:szCs w:val="21"/>
              </w:rPr>
            </w:pPr>
          </w:p>
        </w:tc>
        <w:tc>
          <w:tcPr>
            <w:tcW w:w="698" w:type="pct"/>
            <w:shd w:val="clear" w:color="auto" w:fill="auto"/>
            <w:vAlign w:val="center"/>
          </w:tcPr>
          <w:p w14:paraId="61F20097">
            <w:pPr>
              <w:adjustRightInd w:val="0"/>
              <w:snapToGrid w:val="0"/>
              <w:spacing w:after="0" w:line="408" w:lineRule="auto"/>
              <w:rPr>
                <w:rFonts w:hint="eastAsia" w:ascii="仿宋" w:hAnsi="仿宋" w:eastAsia="仿宋"/>
                <w:bCs/>
                <w:snapToGrid w:val="0"/>
                <w:kern w:val="0"/>
                <w:sz w:val="18"/>
                <w:szCs w:val="21"/>
                <w:lang w:eastAsia="zh-CN"/>
              </w:rPr>
            </w:pPr>
            <w:r>
              <w:rPr>
                <w:rFonts w:hint="eastAsia" w:ascii="仿宋" w:hAnsi="仿宋" w:eastAsia="仿宋"/>
                <w:bCs/>
                <w:snapToGrid w:val="0"/>
                <w:kern w:val="0"/>
                <w:sz w:val="18"/>
                <w:szCs w:val="21"/>
              </w:rPr>
              <w:t>交通事故处置平均时间(4分</w:t>
            </w:r>
            <w:r>
              <w:rPr>
                <w:rFonts w:hint="eastAsia" w:ascii="仿宋" w:hAnsi="仿宋" w:eastAsia="仿宋"/>
                <w:bCs/>
                <w:snapToGrid w:val="0"/>
                <w:kern w:val="0"/>
                <w:sz w:val="18"/>
                <w:szCs w:val="21"/>
                <w:lang w:eastAsia="zh-CN"/>
              </w:rPr>
              <w:t>）</w:t>
            </w:r>
          </w:p>
        </w:tc>
        <w:tc>
          <w:tcPr>
            <w:tcW w:w="1145" w:type="pct"/>
            <w:shd w:val="clear" w:color="auto" w:fill="auto"/>
            <w:vAlign w:val="center"/>
          </w:tcPr>
          <w:p w14:paraId="1C0D91DA">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本年度交通事故处置的平均时间达到多少分钟。</w:t>
            </w:r>
          </w:p>
        </w:tc>
        <w:tc>
          <w:tcPr>
            <w:tcW w:w="1780" w:type="pct"/>
            <w:shd w:val="clear" w:color="auto" w:fill="auto"/>
            <w:vAlign w:val="center"/>
          </w:tcPr>
          <w:p w14:paraId="4FA10860">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评价要点：</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①平均时间≤35分钟，得4分；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②35分钟﹤平均时间≤40分钟，得3分；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③40分钟﹤平均时间≤45分钟，得2分；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④45分钟﹤平均时间≤50分钟，得1分；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⑤50分钟﹤平均时间，得0分。</w:t>
            </w:r>
          </w:p>
        </w:tc>
      </w:tr>
      <w:tr w14:paraId="06235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4" w:type="pct"/>
            <w:vMerge w:val="continue"/>
            <w:shd w:val="clear" w:color="auto" w:fill="auto"/>
            <w:vAlign w:val="center"/>
          </w:tcPr>
          <w:p w14:paraId="7A9CB36F">
            <w:pPr>
              <w:adjustRightInd w:val="0"/>
              <w:snapToGrid w:val="0"/>
              <w:spacing w:after="0" w:line="408" w:lineRule="auto"/>
              <w:rPr>
                <w:rFonts w:hint="eastAsia" w:ascii="仿宋" w:hAnsi="仿宋" w:eastAsia="仿宋"/>
                <w:bCs/>
                <w:snapToGrid w:val="0"/>
                <w:kern w:val="0"/>
                <w:sz w:val="18"/>
                <w:szCs w:val="21"/>
              </w:rPr>
            </w:pPr>
          </w:p>
        </w:tc>
        <w:tc>
          <w:tcPr>
            <w:tcW w:w="872" w:type="pct"/>
            <w:vMerge w:val="continue"/>
            <w:shd w:val="clear" w:color="auto" w:fill="auto"/>
            <w:vAlign w:val="center"/>
          </w:tcPr>
          <w:p w14:paraId="689C9358">
            <w:pPr>
              <w:adjustRightInd w:val="0"/>
              <w:snapToGrid w:val="0"/>
              <w:spacing w:after="0" w:line="408" w:lineRule="auto"/>
              <w:rPr>
                <w:rFonts w:hint="eastAsia" w:ascii="仿宋" w:hAnsi="仿宋" w:eastAsia="仿宋"/>
                <w:bCs/>
                <w:snapToGrid w:val="0"/>
                <w:kern w:val="0"/>
                <w:sz w:val="18"/>
                <w:szCs w:val="21"/>
              </w:rPr>
            </w:pPr>
          </w:p>
        </w:tc>
        <w:tc>
          <w:tcPr>
            <w:tcW w:w="698" w:type="pct"/>
            <w:shd w:val="clear" w:color="auto" w:fill="auto"/>
            <w:vAlign w:val="center"/>
          </w:tcPr>
          <w:p w14:paraId="59CD9812">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交通事故数量（4分）</w:t>
            </w:r>
          </w:p>
        </w:tc>
        <w:tc>
          <w:tcPr>
            <w:tcW w:w="1145" w:type="pct"/>
            <w:shd w:val="clear" w:color="auto" w:fill="auto"/>
            <w:vAlign w:val="center"/>
          </w:tcPr>
          <w:p w14:paraId="3F4FC31B">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本年度发生道路交通事故的次数。</w:t>
            </w:r>
          </w:p>
        </w:tc>
        <w:tc>
          <w:tcPr>
            <w:tcW w:w="1780" w:type="pct"/>
            <w:shd w:val="clear" w:color="auto" w:fill="auto"/>
            <w:vAlign w:val="center"/>
          </w:tcPr>
          <w:p w14:paraId="71FCB11B">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评价要点：</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①事故数量≤30起，得4分；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②30起﹤事故数量≤35起，得3分；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③35起﹤事故数量≤40起，得2分；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④40起﹤事故数量≤45起，得1分；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⑤45起﹤事故数量，得0分。</w:t>
            </w:r>
          </w:p>
        </w:tc>
      </w:tr>
      <w:tr w14:paraId="32638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4" w:type="pct"/>
            <w:vMerge w:val="continue"/>
            <w:shd w:val="clear" w:color="auto" w:fill="auto"/>
            <w:vAlign w:val="center"/>
          </w:tcPr>
          <w:p w14:paraId="4C9AA0E1">
            <w:pPr>
              <w:adjustRightInd w:val="0"/>
              <w:snapToGrid w:val="0"/>
              <w:spacing w:after="0" w:line="408" w:lineRule="auto"/>
              <w:rPr>
                <w:rFonts w:hint="eastAsia" w:ascii="仿宋" w:hAnsi="仿宋" w:eastAsia="仿宋"/>
                <w:bCs/>
                <w:snapToGrid w:val="0"/>
                <w:kern w:val="0"/>
                <w:sz w:val="18"/>
                <w:szCs w:val="21"/>
              </w:rPr>
            </w:pPr>
          </w:p>
        </w:tc>
        <w:tc>
          <w:tcPr>
            <w:tcW w:w="872" w:type="pct"/>
            <w:vMerge w:val="continue"/>
            <w:shd w:val="clear" w:color="auto" w:fill="auto"/>
            <w:vAlign w:val="center"/>
          </w:tcPr>
          <w:p w14:paraId="631AB04D">
            <w:pPr>
              <w:adjustRightInd w:val="0"/>
              <w:snapToGrid w:val="0"/>
              <w:spacing w:after="0" w:line="408" w:lineRule="auto"/>
              <w:rPr>
                <w:rFonts w:hint="eastAsia" w:ascii="仿宋" w:hAnsi="仿宋" w:eastAsia="仿宋"/>
                <w:bCs/>
                <w:snapToGrid w:val="0"/>
                <w:kern w:val="0"/>
                <w:sz w:val="18"/>
                <w:szCs w:val="21"/>
              </w:rPr>
            </w:pPr>
          </w:p>
        </w:tc>
        <w:tc>
          <w:tcPr>
            <w:tcW w:w="698" w:type="pct"/>
            <w:shd w:val="clear" w:color="auto" w:fill="auto"/>
            <w:vAlign w:val="center"/>
          </w:tcPr>
          <w:p w14:paraId="11EA6EA4">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道路交通事故财产损失的金额（4分）</w:t>
            </w:r>
          </w:p>
        </w:tc>
        <w:tc>
          <w:tcPr>
            <w:tcW w:w="1145" w:type="pct"/>
            <w:shd w:val="clear" w:color="auto" w:fill="auto"/>
            <w:vAlign w:val="center"/>
          </w:tcPr>
          <w:p w14:paraId="69A335EF">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本年度发生道路交通事故导致发生财产损失的金额量。</w:t>
            </w:r>
          </w:p>
        </w:tc>
        <w:tc>
          <w:tcPr>
            <w:tcW w:w="1780" w:type="pct"/>
            <w:shd w:val="clear" w:color="auto" w:fill="auto"/>
            <w:vAlign w:val="center"/>
          </w:tcPr>
          <w:p w14:paraId="3559000B">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评价要点：</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①损失金额≤10000元，得4分；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②10000元﹤损失金额≤11000元，得3分；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③11000元﹤损失金额≤12000元，得2分；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④12000元﹤损失金额≤13000元，得1分；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⑤14000元﹤损失金额，得0分。</w:t>
            </w:r>
          </w:p>
        </w:tc>
      </w:tr>
      <w:tr w14:paraId="3C334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4" w:type="pct"/>
            <w:vMerge w:val="continue"/>
            <w:shd w:val="clear" w:color="auto" w:fill="auto"/>
            <w:vAlign w:val="center"/>
          </w:tcPr>
          <w:p w14:paraId="0A687778">
            <w:pPr>
              <w:adjustRightInd w:val="0"/>
              <w:snapToGrid w:val="0"/>
              <w:spacing w:after="0" w:line="408" w:lineRule="auto"/>
              <w:rPr>
                <w:rFonts w:hint="eastAsia" w:ascii="仿宋" w:hAnsi="仿宋" w:eastAsia="仿宋"/>
                <w:bCs/>
                <w:snapToGrid w:val="0"/>
                <w:kern w:val="0"/>
                <w:sz w:val="18"/>
                <w:szCs w:val="21"/>
              </w:rPr>
            </w:pPr>
          </w:p>
        </w:tc>
        <w:tc>
          <w:tcPr>
            <w:tcW w:w="872" w:type="pct"/>
            <w:vMerge w:val="restart"/>
            <w:shd w:val="clear" w:color="auto" w:fill="auto"/>
            <w:vAlign w:val="center"/>
          </w:tcPr>
          <w:p w14:paraId="64BBE233">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产出质量（8分）</w:t>
            </w:r>
          </w:p>
        </w:tc>
        <w:tc>
          <w:tcPr>
            <w:tcW w:w="698" w:type="pct"/>
            <w:shd w:val="clear" w:color="auto" w:fill="auto"/>
            <w:vAlign w:val="center"/>
          </w:tcPr>
          <w:p w14:paraId="16E1B3CB">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项目验收合格率情况（2分）</w:t>
            </w:r>
          </w:p>
        </w:tc>
        <w:tc>
          <w:tcPr>
            <w:tcW w:w="1145" w:type="pct"/>
            <w:shd w:val="clear" w:color="auto" w:fill="auto"/>
            <w:vAlign w:val="center"/>
          </w:tcPr>
          <w:p w14:paraId="6BBB307C">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项目是否全部验收合格。</w:t>
            </w:r>
          </w:p>
        </w:tc>
        <w:tc>
          <w:tcPr>
            <w:tcW w:w="1780" w:type="pct"/>
            <w:shd w:val="clear" w:color="auto" w:fill="auto"/>
            <w:vAlign w:val="center"/>
          </w:tcPr>
          <w:p w14:paraId="073FF8AA">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评价要点：</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①验收合格率=100%，得2分；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②100%&gt;验收合格率≥90%，得1分；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③90%&gt;验收合格率，得0分。</w:t>
            </w:r>
          </w:p>
        </w:tc>
      </w:tr>
      <w:tr w14:paraId="36CBC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4" w:type="pct"/>
            <w:vMerge w:val="continue"/>
            <w:shd w:val="clear" w:color="auto" w:fill="auto"/>
            <w:vAlign w:val="center"/>
          </w:tcPr>
          <w:p w14:paraId="10DED6AD">
            <w:pPr>
              <w:adjustRightInd w:val="0"/>
              <w:snapToGrid w:val="0"/>
              <w:spacing w:after="0" w:line="408" w:lineRule="auto"/>
              <w:rPr>
                <w:rFonts w:hint="eastAsia" w:ascii="仿宋" w:hAnsi="仿宋" w:eastAsia="仿宋"/>
                <w:bCs/>
                <w:snapToGrid w:val="0"/>
                <w:kern w:val="0"/>
                <w:sz w:val="18"/>
                <w:szCs w:val="21"/>
              </w:rPr>
            </w:pPr>
          </w:p>
        </w:tc>
        <w:tc>
          <w:tcPr>
            <w:tcW w:w="872" w:type="pct"/>
            <w:vMerge w:val="continue"/>
            <w:shd w:val="clear" w:color="auto" w:fill="auto"/>
            <w:vAlign w:val="center"/>
          </w:tcPr>
          <w:p w14:paraId="4FDE71A7">
            <w:pPr>
              <w:adjustRightInd w:val="0"/>
              <w:snapToGrid w:val="0"/>
              <w:spacing w:after="0" w:line="408" w:lineRule="auto"/>
              <w:rPr>
                <w:rFonts w:hint="eastAsia" w:ascii="仿宋" w:hAnsi="仿宋" w:eastAsia="仿宋"/>
                <w:bCs/>
                <w:snapToGrid w:val="0"/>
                <w:kern w:val="0"/>
                <w:sz w:val="18"/>
                <w:szCs w:val="21"/>
              </w:rPr>
            </w:pPr>
          </w:p>
        </w:tc>
        <w:tc>
          <w:tcPr>
            <w:tcW w:w="698" w:type="pct"/>
            <w:shd w:val="clear" w:color="auto" w:fill="auto"/>
            <w:vAlign w:val="center"/>
          </w:tcPr>
          <w:p w14:paraId="23BB0676">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项目验收的规范性（4分）</w:t>
            </w:r>
          </w:p>
        </w:tc>
        <w:tc>
          <w:tcPr>
            <w:tcW w:w="1145" w:type="pct"/>
            <w:shd w:val="clear" w:color="auto" w:fill="auto"/>
            <w:vAlign w:val="center"/>
          </w:tcPr>
          <w:p w14:paraId="58F39AD5">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项目的验收是否遵循《建设工程施工质量验收统一标准》，是否有相关单位的验收签章，验收过程是否合规。</w:t>
            </w:r>
          </w:p>
        </w:tc>
        <w:tc>
          <w:tcPr>
            <w:tcW w:w="1780" w:type="pct"/>
            <w:shd w:val="clear" w:color="auto" w:fill="auto"/>
            <w:vAlign w:val="center"/>
          </w:tcPr>
          <w:p w14:paraId="1487BF8A">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评价要点：</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①是否有验收单；</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②验收单是否填写竣工日期及验收日期；</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③验收单填写是否规范；</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④验收单是否有相关责任单位签字盖章。</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一项不符扣1分，扣完为止。</w:t>
            </w:r>
          </w:p>
        </w:tc>
      </w:tr>
      <w:tr w14:paraId="4667C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4" w:type="pct"/>
            <w:vMerge w:val="continue"/>
            <w:shd w:val="clear" w:color="auto" w:fill="auto"/>
            <w:vAlign w:val="center"/>
          </w:tcPr>
          <w:p w14:paraId="2F5EFF09">
            <w:pPr>
              <w:adjustRightInd w:val="0"/>
              <w:snapToGrid w:val="0"/>
              <w:spacing w:after="0" w:line="408" w:lineRule="auto"/>
              <w:rPr>
                <w:rFonts w:hint="eastAsia" w:ascii="仿宋" w:hAnsi="仿宋" w:eastAsia="仿宋"/>
                <w:bCs/>
                <w:snapToGrid w:val="0"/>
                <w:kern w:val="0"/>
                <w:sz w:val="18"/>
                <w:szCs w:val="21"/>
              </w:rPr>
            </w:pPr>
          </w:p>
        </w:tc>
        <w:tc>
          <w:tcPr>
            <w:tcW w:w="872" w:type="pct"/>
            <w:vMerge w:val="continue"/>
            <w:shd w:val="clear" w:color="auto" w:fill="auto"/>
            <w:vAlign w:val="center"/>
          </w:tcPr>
          <w:p w14:paraId="6A6AB5D0">
            <w:pPr>
              <w:adjustRightInd w:val="0"/>
              <w:snapToGrid w:val="0"/>
              <w:spacing w:after="0" w:line="408" w:lineRule="auto"/>
              <w:rPr>
                <w:rFonts w:hint="eastAsia" w:ascii="仿宋" w:hAnsi="仿宋" w:eastAsia="仿宋"/>
                <w:bCs/>
                <w:snapToGrid w:val="0"/>
                <w:kern w:val="0"/>
                <w:sz w:val="18"/>
                <w:szCs w:val="21"/>
              </w:rPr>
            </w:pPr>
          </w:p>
        </w:tc>
        <w:tc>
          <w:tcPr>
            <w:tcW w:w="698" w:type="pct"/>
            <w:shd w:val="clear" w:color="auto" w:fill="auto"/>
            <w:vAlign w:val="center"/>
          </w:tcPr>
          <w:p w14:paraId="1ACDD996">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对交通设施的维护情况（2分）</w:t>
            </w:r>
          </w:p>
        </w:tc>
        <w:tc>
          <w:tcPr>
            <w:tcW w:w="1145" w:type="pct"/>
            <w:shd w:val="clear" w:color="auto" w:fill="auto"/>
            <w:vAlign w:val="center"/>
          </w:tcPr>
          <w:p w14:paraId="66210DFB">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在项目建设完工后是否定期对交通设施进行检查，维护，保养。</w:t>
            </w:r>
          </w:p>
        </w:tc>
        <w:tc>
          <w:tcPr>
            <w:tcW w:w="1780" w:type="pct"/>
            <w:shd w:val="clear" w:color="auto" w:fill="auto"/>
            <w:vAlign w:val="center"/>
          </w:tcPr>
          <w:p w14:paraId="1D2242C2">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评价要点：</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①是否有定期对交通设施进行开展巡查工作；</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②是否有定期对交通设施进行开展维护工作；</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一项不符扣1分，扣完为止。</w:t>
            </w:r>
          </w:p>
        </w:tc>
      </w:tr>
      <w:tr w14:paraId="6C1EA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4" w:type="pct"/>
            <w:vMerge w:val="continue"/>
            <w:shd w:val="clear" w:color="auto" w:fill="auto"/>
            <w:vAlign w:val="center"/>
          </w:tcPr>
          <w:p w14:paraId="6B174AA0">
            <w:pPr>
              <w:adjustRightInd w:val="0"/>
              <w:snapToGrid w:val="0"/>
              <w:spacing w:after="0" w:line="408" w:lineRule="auto"/>
              <w:rPr>
                <w:rFonts w:hint="eastAsia" w:ascii="仿宋" w:hAnsi="仿宋" w:eastAsia="仿宋"/>
                <w:bCs/>
                <w:snapToGrid w:val="0"/>
                <w:kern w:val="0"/>
                <w:sz w:val="18"/>
                <w:szCs w:val="21"/>
              </w:rPr>
            </w:pPr>
          </w:p>
        </w:tc>
        <w:tc>
          <w:tcPr>
            <w:tcW w:w="872" w:type="pct"/>
            <w:shd w:val="clear" w:color="auto" w:fill="auto"/>
            <w:vAlign w:val="center"/>
          </w:tcPr>
          <w:p w14:paraId="7796BF2D">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产出成本（2分）</w:t>
            </w:r>
          </w:p>
        </w:tc>
        <w:tc>
          <w:tcPr>
            <w:tcW w:w="698" w:type="pct"/>
            <w:shd w:val="clear" w:color="auto" w:fill="auto"/>
            <w:vAlign w:val="center"/>
          </w:tcPr>
          <w:p w14:paraId="6D3126A5">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项目投入金额（2分）</w:t>
            </w:r>
          </w:p>
        </w:tc>
        <w:tc>
          <w:tcPr>
            <w:tcW w:w="1145" w:type="pct"/>
            <w:shd w:val="clear" w:color="auto" w:fill="auto"/>
            <w:vAlign w:val="center"/>
          </w:tcPr>
          <w:p w14:paraId="11A4672E">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项目实际支出的金额是否超出预算的金额。</w:t>
            </w:r>
          </w:p>
        </w:tc>
        <w:tc>
          <w:tcPr>
            <w:tcW w:w="1780" w:type="pct"/>
            <w:shd w:val="clear" w:color="auto" w:fill="auto"/>
            <w:vAlign w:val="center"/>
          </w:tcPr>
          <w:p w14:paraId="6B16FE17">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评价要点：</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项目投入成本≤预算金额。</w:t>
            </w:r>
          </w:p>
        </w:tc>
      </w:tr>
      <w:tr w14:paraId="03209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4" w:type="pct"/>
            <w:vMerge w:val="restart"/>
            <w:shd w:val="clear" w:color="auto" w:fill="auto"/>
            <w:vAlign w:val="center"/>
          </w:tcPr>
          <w:p w14:paraId="56DC5FDA">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效益（34%）</w:t>
            </w:r>
          </w:p>
        </w:tc>
        <w:tc>
          <w:tcPr>
            <w:tcW w:w="872" w:type="pct"/>
            <w:vMerge w:val="restart"/>
            <w:shd w:val="clear" w:color="auto" w:fill="auto"/>
            <w:vAlign w:val="center"/>
          </w:tcPr>
          <w:p w14:paraId="5F56125F">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社会效益（25分）</w:t>
            </w:r>
          </w:p>
        </w:tc>
        <w:tc>
          <w:tcPr>
            <w:tcW w:w="698" w:type="pct"/>
            <w:shd w:val="clear" w:color="auto" w:fill="auto"/>
            <w:vAlign w:val="center"/>
          </w:tcPr>
          <w:p w14:paraId="040BC119">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交通事故死亡率的降低情况（5分）</w:t>
            </w:r>
          </w:p>
        </w:tc>
        <w:tc>
          <w:tcPr>
            <w:tcW w:w="1145" w:type="pct"/>
            <w:shd w:val="clear" w:color="auto" w:fill="auto"/>
            <w:vAlign w:val="center"/>
          </w:tcPr>
          <w:p w14:paraId="51FB95DA">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交通事故死亡率相比于上年度是否有所降低。交通事故死亡率=本年度发生的交通事故/在交通事故中死亡的人数*100%。</w:t>
            </w:r>
          </w:p>
        </w:tc>
        <w:tc>
          <w:tcPr>
            <w:tcW w:w="1780" w:type="pct"/>
            <w:shd w:val="clear" w:color="auto" w:fill="auto"/>
            <w:vAlign w:val="center"/>
          </w:tcPr>
          <w:p w14:paraId="3BB0A7C2">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评价要点：</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①与上年相比有所降低，得5分；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②与上年保持一致，得4分；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③与上年度相比增加1%死亡率，得3分；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④与上年度相比增加2%死亡率，得2分；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⑤与上年度相比增加3%死亡率以上，得1分；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⑥与上年度相比增加4%死亡率以上，得0分。</w:t>
            </w:r>
          </w:p>
        </w:tc>
      </w:tr>
      <w:tr w14:paraId="09A35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4" w:type="pct"/>
            <w:vMerge w:val="continue"/>
            <w:shd w:val="clear" w:color="auto" w:fill="auto"/>
            <w:vAlign w:val="center"/>
          </w:tcPr>
          <w:p w14:paraId="1E94ABAC">
            <w:pPr>
              <w:adjustRightInd w:val="0"/>
              <w:snapToGrid w:val="0"/>
              <w:spacing w:after="0" w:line="408" w:lineRule="auto"/>
              <w:rPr>
                <w:rFonts w:hint="eastAsia" w:ascii="仿宋" w:hAnsi="仿宋" w:eastAsia="仿宋"/>
                <w:bCs/>
                <w:snapToGrid w:val="0"/>
                <w:kern w:val="0"/>
                <w:sz w:val="18"/>
                <w:szCs w:val="21"/>
              </w:rPr>
            </w:pPr>
          </w:p>
        </w:tc>
        <w:tc>
          <w:tcPr>
            <w:tcW w:w="872" w:type="pct"/>
            <w:vMerge w:val="continue"/>
            <w:shd w:val="clear" w:color="auto" w:fill="auto"/>
            <w:vAlign w:val="center"/>
          </w:tcPr>
          <w:p w14:paraId="488AB535">
            <w:pPr>
              <w:adjustRightInd w:val="0"/>
              <w:snapToGrid w:val="0"/>
              <w:spacing w:after="0" w:line="408" w:lineRule="auto"/>
              <w:rPr>
                <w:rFonts w:hint="eastAsia" w:ascii="仿宋" w:hAnsi="仿宋" w:eastAsia="仿宋"/>
                <w:bCs/>
                <w:snapToGrid w:val="0"/>
                <w:kern w:val="0"/>
                <w:sz w:val="18"/>
                <w:szCs w:val="21"/>
              </w:rPr>
            </w:pPr>
          </w:p>
        </w:tc>
        <w:tc>
          <w:tcPr>
            <w:tcW w:w="698" w:type="pct"/>
            <w:shd w:val="clear" w:color="auto" w:fill="auto"/>
            <w:vAlign w:val="center"/>
          </w:tcPr>
          <w:p w14:paraId="0C569649">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交通死亡人数的下降比率（5分）</w:t>
            </w:r>
          </w:p>
        </w:tc>
        <w:tc>
          <w:tcPr>
            <w:tcW w:w="1145" w:type="pct"/>
            <w:shd w:val="clear" w:color="auto" w:fill="auto"/>
            <w:vAlign w:val="center"/>
          </w:tcPr>
          <w:p w14:paraId="70D034CD">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交通事故的死亡人数相比于上年度是否有所降低。</w:t>
            </w:r>
          </w:p>
        </w:tc>
        <w:tc>
          <w:tcPr>
            <w:tcW w:w="1780" w:type="pct"/>
            <w:shd w:val="clear" w:color="auto" w:fill="auto"/>
            <w:vAlign w:val="center"/>
          </w:tcPr>
          <w:p w14:paraId="7E8684D8">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评价要点：</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①与上年相比有所降低，得5分；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②与上年保持一致，得4分；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③与上年度相比增加死亡人数1人，得3分；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④与上年度相比增加死亡人数2人，得2分；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⑤与上年度相比增加死亡人数3人以上，得1分；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⑥与上年度相比增加死亡人数4人以上，得0分。</w:t>
            </w:r>
          </w:p>
        </w:tc>
      </w:tr>
      <w:tr w14:paraId="70E04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4" w:type="pct"/>
            <w:vMerge w:val="continue"/>
            <w:shd w:val="clear" w:color="auto" w:fill="auto"/>
            <w:vAlign w:val="center"/>
          </w:tcPr>
          <w:p w14:paraId="5031F48D">
            <w:pPr>
              <w:adjustRightInd w:val="0"/>
              <w:snapToGrid w:val="0"/>
              <w:spacing w:after="0" w:line="408" w:lineRule="auto"/>
              <w:rPr>
                <w:rFonts w:hint="eastAsia" w:ascii="仿宋" w:hAnsi="仿宋" w:eastAsia="仿宋"/>
                <w:bCs/>
                <w:snapToGrid w:val="0"/>
                <w:kern w:val="0"/>
                <w:sz w:val="18"/>
                <w:szCs w:val="21"/>
              </w:rPr>
            </w:pPr>
          </w:p>
        </w:tc>
        <w:tc>
          <w:tcPr>
            <w:tcW w:w="872" w:type="pct"/>
            <w:vMerge w:val="continue"/>
            <w:shd w:val="clear" w:color="auto" w:fill="auto"/>
            <w:vAlign w:val="center"/>
          </w:tcPr>
          <w:p w14:paraId="277FAA14">
            <w:pPr>
              <w:adjustRightInd w:val="0"/>
              <w:snapToGrid w:val="0"/>
              <w:spacing w:after="0" w:line="408" w:lineRule="auto"/>
              <w:rPr>
                <w:rFonts w:hint="eastAsia" w:ascii="仿宋" w:hAnsi="仿宋" w:eastAsia="仿宋"/>
                <w:bCs/>
                <w:snapToGrid w:val="0"/>
                <w:kern w:val="0"/>
                <w:sz w:val="18"/>
                <w:szCs w:val="21"/>
              </w:rPr>
            </w:pPr>
          </w:p>
        </w:tc>
        <w:tc>
          <w:tcPr>
            <w:tcW w:w="698" w:type="pct"/>
            <w:shd w:val="clear" w:color="auto" w:fill="auto"/>
            <w:vAlign w:val="center"/>
          </w:tcPr>
          <w:p w14:paraId="67AC8779">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交通肇事逃逸案件侦破情况（5分）</w:t>
            </w:r>
          </w:p>
        </w:tc>
        <w:tc>
          <w:tcPr>
            <w:tcW w:w="1145" w:type="pct"/>
            <w:shd w:val="clear" w:color="auto" w:fill="auto"/>
            <w:vAlign w:val="center"/>
          </w:tcPr>
          <w:p w14:paraId="60D60E5D">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交通肇事逃逸案件的侦破率，相比上年度侦破率是否有所提高。</w:t>
            </w:r>
          </w:p>
        </w:tc>
        <w:tc>
          <w:tcPr>
            <w:tcW w:w="1780" w:type="pct"/>
            <w:shd w:val="clear" w:color="auto" w:fill="auto"/>
            <w:vAlign w:val="center"/>
          </w:tcPr>
          <w:p w14:paraId="0EF1E4B9">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评价要点：</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①侦破率=100%，得5分；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②100%&gt;侦破率≥95%，得4分；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③95%&gt;侦破率≥90%，得3分；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④90%&gt;侦破率≥85%，得2分；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⑤侦破率﹤85%，得1分。</w:t>
            </w:r>
          </w:p>
        </w:tc>
      </w:tr>
      <w:tr w14:paraId="11EFF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4" w:type="pct"/>
            <w:vMerge w:val="continue"/>
            <w:shd w:val="clear" w:color="auto" w:fill="auto"/>
            <w:vAlign w:val="center"/>
          </w:tcPr>
          <w:p w14:paraId="01661059">
            <w:pPr>
              <w:adjustRightInd w:val="0"/>
              <w:snapToGrid w:val="0"/>
              <w:spacing w:after="0" w:line="408" w:lineRule="auto"/>
              <w:rPr>
                <w:rFonts w:hint="eastAsia" w:ascii="仿宋" w:hAnsi="仿宋" w:eastAsia="仿宋"/>
                <w:bCs/>
                <w:snapToGrid w:val="0"/>
                <w:kern w:val="0"/>
                <w:sz w:val="18"/>
                <w:szCs w:val="21"/>
              </w:rPr>
            </w:pPr>
          </w:p>
        </w:tc>
        <w:tc>
          <w:tcPr>
            <w:tcW w:w="872" w:type="pct"/>
            <w:vMerge w:val="continue"/>
            <w:shd w:val="clear" w:color="auto" w:fill="auto"/>
            <w:vAlign w:val="center"/>
          </w:tcPr>
          <w:p w14:paraId="438DC4E7">
            <w:pPr>
              <w:adjustRightInd w:val="0"/>
              <w:snapToGrid w:val="0"/>
              <w:spacing w:after="0" w:line="408" w:lineRule="auto"/>
              <w:rPr>
                <w:rFonts w:hint="eastAsia" w:ascii="仿宋" w:hAnsi="仿宋" w:eastAsia="仿宋"/>
                <w:bCs/>
                <w:snapToGrid w:val="0"/>
                <w:kern w:val="0"/>
                <w:sz w:val="18"/>
                <w:szCs w:val="21"/>
              </w:rPr>
            </w:pPr>
          </w:p>
        </w:tc>
        <w:tc>
          <w:tcPr>
            <w:tcW w:w="698" w:type="pct"/>
            <w:shd w:val="clear" w:color="auto" w:fill="auto"/>
            <w:vAlign w:val="center"/>
          </w:tcPr>
          <w:p w14:paraId="30C7AFF5">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交通事故处置平均时间的下降情况（5分）</w:t>
            </w:r>
          </w:p>
        </w:tc>
        <w:tc>
          <w:tcPr>
            <w:tcW w:w="1145" w:type="pct"/>
            <w:shd w:val="clear" w:color="auto" w:fill="auto"/>
            <w:vAlign w:val="center"/>
          </w:tcPr>
          <w:p w14:paraId="77B6075E">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交通事故处置的平均时间和上年相比的下降百分比。下降率=（上年平均处置时间-本年平均处置时间）/上年平均处置时间*100%。</w:t>
            </w:r>
          </w:p>
        </w:tc>
        <w:tc>
          <w:tcPr>
            <w:tcW w:w="1780" w:type="pct"/>
            <w:shd w:val="clear" w:color="auto" w:fill="auto"/>
            <w:vAlign w:val="center"/>
          </w:tcPr>
          <w:p w14:paraId="1D459849">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评价要点：</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①下降率≥5%，得5分；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②5%&gt;下降率≥4%，得4分；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③4%&gt;下降率≥3%，得3分；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④2%&gt;下降率≥1%，得2分；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⑤1%&gt;下降率≥0.05%，得1分；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⑥下降率﹤0.05%，得0分。</w:t>
            </w:r>
          </w:p>
        </w:tc>
      </w:tr>
      <w:tr w14:paraId="6272F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4" w:type="pct"/>
            <w:vMerge w:val="continue"/>
            <w:shd w:val="clear" w:color="auto" w:fill="auto"/>
            <w:vAlign w:val="center"/>
          </w:tcPr>
          <w:p w14:paraId="253F0134">
            <w:pPr>
              <w:adjustRightInd w:val="0"/>
              <w:snapToGrid w:val="0"/>
              <w:spacing w:after="0" w:line="408" w:lineRule="auto"/>
              <w:rPr>
                <w:rFonts w:hint="eastAsia" w:ascii="仿宋" w:hAnsi="仿宋" w:eastAsia="仿宋"/>
                <w:bCs/>
                <w:snapToGrid w:val="0"/>
                <w:kern w:val="0"/>
                <w:sz w:val="18"/>
                <w:szCs w:val="21"/>
              </w:rPr>
            </w:pPr>
          </w:p>
        </w:tc>
        <w:tc>
          <w:tcPr>
            <w:tcW w:w="872" w:type="pct"/>
            <w:vMerge w:val="continue"/>
            <w:shd w:val="clear" w:color="auto" w:fill="auto"/>
            <w:vAlign w:val="center"/>
          </w:tcPr>
          <w:p w14:paraId="7D1DF656">
            <w:pPr>
              <w:adjustRightInd w:val="0"/>
              <w:snapToGrid w:val="0"/>
              <w:spacing w:after="0" w:line="408" w:lineRule="auto"/>
              <w:rPr>
                <w:rFonts w:hint="eastAsia" w:ascii="仿宋" w:hAnsi="仿宋" w:eastAsia="仿宋"/>
                <w:bCs/>
                <w:snapToGrid w:val="0"/>
                <w:kern w:val="0"/>
                <w:sz w:val="18"/>
                <w:szCs w:val="21"/>
              </w:rPr>
            </w:pPr>
          </w:p>
        </w:tc>
        <w:tc>
          <w:tcPr>
            <w:tcW w:w="698" w:type="pct"/>
            <w:shd w:val="clear" w:color="auto" w:fill="auto"/>
            <w:vAlign w:val="center"/>
          </w:tcPr>
          <w:p w14:paraId="01804844">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关于促进群众出行项目的建设情况（5分）</w:t>
            </w:r>
          </w:p>
        </w:tc>
        <w:tc>
          <w:tcPr>
            <w:tcW w:w="1145" w:type="pct"/>
            <w:shd w:val="clear" w:color="auto" w:fill="auto"/>
            <w:vAlign w:val="center"/>
          </w:tcPr>
          <w:p w14:paraId="31611878">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在为民办实事项目当中做了多少个便利于群众出行的项目。</w:t>
            </w:r>
          </w:p>
        </w:tc>
        <w:tc>
          <w:tcPr>
            <w:tcW w:w="1780" w:type="pct"/>
            <w:shd w:val="clear" w:color="auto" w:fill="auto"/>
            <w:vAlign w:val="center"/>
          </w:tcPr>
          <w:p w14:paraId="74F47D2C">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评价要点：</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①达到5个项目，得5分；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②达到4个项目，得4分；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③达到3个项目，得3分；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④达到2个项目，得2分；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⑤达到1个项目，得1分；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⑥达到0个项目，得0分。</w:t>
            </w:r>
          </w:p>
        </w:tc>
      </w:tr>
      <w:tr w14:paraId="4B865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4" w:type="pct"/>
            <w:vMerge w:val="continue"/>
            <w:shd w:val="clear" w:color="auto" w:fill="auto"/>
            <w:vAlign w:val="center"/>
          </w:tcPr>
          <w:p w14:paraId="27C54C7D">
            <w:pPr>
              <w:adjustRightInd w:val="0"/>
              <w:snapToGrid w:val="0"/>
              <w:spacing w:after="0" w:line="408" w:lineRule="auto"/>
              <w:rPr>
                <w:rFonts w:hint="eastAsia" w:ascii="仿宋" w:hAnsi="仿宋" w:eastAsia="仿宋"/>
                <w:bCs/>
                <w:snapToGrid w:val="0"/>
                <w:kern w:val="0"/>
                <w:sz w:val="18"/>
                <w:szCs w:val="21"/>
              </w:rPr>
            </w:pPr>
          </w:p>
        </w:tc>
        <w:tc>
          <w:tcPr>
            <w:tcW w:w="872" w:type="pct"/>
            <w:shd w:val="clear" w:color="auto" w:fill="auto"/>
            <w:vAlign w:val="center"/>
          </w:tcPr>
          <w:p w14:paraId="57142EDA">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经济效益（5分）</w:t>
            </w:r>
          </w:p>
        </w:tc>
        <w:tc>
          <w:tcPr>
            <w:tcW w:w="698" w:type="pct"/>
            <w:shd w:val="clear" w:color="auto" w:fill="auto"/>
            <w:vAlign w:val="center"/>
          </w:tcPr>
          <w:p w14:paraId="3C563A10">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道路交通事故财产损失的下降比率（5分）</w:t>
            </w:r>
          </w:p>
        </w:tc>
        <w:tc>
          <w:tcPr>
            <w:tcW w:w="1145" w:type="pct"/>
            <w:shd w:val="clear" w:color="auto" w:fill="auto"/>
            <w:vAlign w:val="center"/>
          </w:tcPr>
          <w:p w14:paraId="52FE3B9F">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本年度道路交通事故财产损失的金额量相比于上年度道路交通事故财产损失的金额量的下降率。下降率=（上年度道路交通财产损失金额量-本年度道路交通财产损失金额量）/上年度道路交通财产损失金额量*100%。</w:t>
            </w:r>
          </w:p>
        </w:tc>
        <w:tc>
          <w:tcPr>
            <w:tcW w:w="1780" w:type="pct"/>
            <w:shd w:val="clear" w:color="auto" w:fill="auto"/>
            <w:vAlign w:val="center"/>
          </w:tcPr>
          <w:p w14:paraId="7E422B5C">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评价要点：</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①下降率≥15%，得5分；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②15%&gt;下降率≥14%，得4分；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③14%&gt;下降率≥13%，得3分；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④12%&gt;下降率≥11%，得2分；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⑤11%&gt;下降率≥10%，得1分；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⑥下降率﹤10%，得0分。</w:t>
            </w:r>
          </w:p>
        </w:tc>
      </w:tr>
      <w:tr w14:paraId="2AEB4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504" w:type="pct"/>
            <w:vMerge w:val="continue"/>
            <w:shd w:val="clear" w:color="auto" w:fill="auto"/>
            <w:vAlign w:val="center"/>
          </w:tcPr>
          <w:p w14:paraId="166D1154">
            <w:pPr>
              <w:adjustRightInd w:val="0"/>
              <w:snapToGrid w:val="0"/>
              <w:spacing w:after="0" w:line="408" w:lineRule="auto"/>
              <w:rPr>
                <w:rFonts w:hint="eastAsia" w:ascii="仿宋" w:hAnsi="仿宋" w:eastAsia="仿宋"/>
                <w:bCs/>
                <w:snapToGrid w:val="0"/>
                <w:kern w:val="0"/>
                <w:sz w:val="18"/>
                <w:szCs w:val="21"/>
              </w:rPr>
            </w:pPr>
          </w:p>
        </w:tc>
        <w:tc>
          <w:tcPr>
            <w:tcW w:w="872" w:type="pct"/>
            <w:shd w:val="clear" w:color="auto" w:fill="auto"/>
            <w:vAlign w:val="center"/>
          </w:tcPr>
          <w:p w14:paraId="713E708B">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满意度（4分）</w:t>
            </w:r>
          </w:p>
        </w:tc>
        <w:tc>
          <w:tcPr>
            <w:tcW w:w="698" w:type="pct"/>
            <w:shd w:val="clear" w:color="auto" w:fill="auto"/>
            <w:vAlign w:val="center"/>
          </w:tcPr>
          <w:p w14:paraId="03708B12">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群众对道路整改情况的满意度情况（4分）</w:t>
            </w:r>
          </w:p>
        </w:tc>
        <w:tc>
          <w:tcPr>
            <w:tcW w:w="1145" w:type="pct"/>
            <w:shd w:val="clear" w:color="auto" w:fill="auto"/>
            <w:vAlign w:val="center"/>
          </w:tcPr>
          <w:p w14:paraId="0F93EDB6">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群众对道路整改情况工作的满意情况，用以考虑交警大队的工作在是否得到群众认可与满意。</w:t>
            </w:r>
          </w:p>
        </w:tc>
        <w:tc>
          <w:tcPr>
            <w:tcW w:w="1780" w:type="pct"/>
            <w:shd w:val="clear" w:color="auto" w:fill="auto"/>
            <w:vAlign w:val="center"/>
          </w:tcPr>
          <w:p w14:paraId="39130D20">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评价要点：</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①非常满意；</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②基本满意；</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③有一定投诉；</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④不满意。</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有非常满意4分，基本满意3分，有一定投诉2分，不满意1分。</w:t>
            </w:r>
          </w:p>
        </w:tc>
      </w:tr>
    </w:tbl>
    <w:p w14:paraId="3F5BDD65">
      <w:pPr>
        <w:spacing w:after="0" w:line="408" w:lineRule="auto"/>
        <w:ind w:firstLine="562" w:firstLineChars="200"/>
        <w:outlineLvl w:val="0"/>
        <w:rPr>
          <w:rFonts w:hint="eastAsia" w:ascii="仿宋" w:hAnsi="仿宋" w:eastAsia="仿宋"/>
          <w:b/>
          <w:sz w:val="28"/>
          <w:szCs w:val="21"/>
        </w:rPr>
      </w:pPr>
      <w:bookmarkStart w:id="25" w:name="_Toc182865213"/>
      <w:r>
        <w:rPr>
          <w:rFonts w:hint="eastAsia" w:ascii="仿宋" w:hAnsi="仿宋" w:eastAsia="仿宋"/>
          <w:b/>
          <w:sz w:val="28"/>
          <w:szCs w:val="21"/>
        </w:rPr>
        <w:t>四、综合评价情况及评价结论</w:t>
      </w:r>
      <w:bookmarkEnd w:id="25"/>
    </w:p>
    <w:p w14:paraId="48DAC1FB">
      <w:pPr>
        <w:spacing w:after="0" w:line="408" w:lineRule="auto"/>
        <w:ind w:firstLine="562" w:firstLineChars="200"/>
        <w:jc w:val="both"/>
        <w:outlineLvl w:val="1"/>
        <w:rPr>
          <w:rFonts w:hint="eastAsia" w:ascii="仿宋" w:hAnsi="仿宋" w:eastAsia="仿宋"/>
          <w:b/>
          <w:sz w:val="28"/>
          <w:szCs w:val="21"/>
        </w:rPr>
      </w:pPr>
      <w:bookmarkStart w:id="26" w:name="_Toc182865214"/>
      <w:r>
        <w:rPr>
          <w:rFonts w:hint="eastAsia" w:ascii="仿宋" w:hAnsi="仿宋" w:eastAsia="仿宋"/>
          <w:b/>
          <w:sz w:val="28"/>
          <w:szCs w:val="21"/>
        </w:rPr>
        <w:t>（一）项目决策投入情况（权重为16%，得分15分）</w:t>
      </w:r>
      <w:bookmarkEnd w:id="26"/>
    </w:p>
    <w:p w14:paraId="07F4E330">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决策投入指标16分，包括项目立项6分、绩效目标6分和资金投入4分等三个二级指标和六个三级指标，主要体现项目立项、绩效目标设置、预算编制及资金使用情况。</w:t>
      </w:r>
    </w:p>
    <w:p w14:paraId="6B6A8EA7">
      <w:pPr>
        <w:spacing w:after="0" w:line="408" w:lineRule="auto"/>
        <w:ind w:firstLine="560" w:firstLineChars="200"/>
        <w:jc w:val="both"/>
        <w:outlineLvl w:val="2"/>
        <w:rPr>
          <w:rFonts w:hint="eastAsia" w:ascii="仿宋" w:hAnsi="仿宋" w:eastAsia="仿宋"/>
          <w:sz w:val="28"/>
          <w:szCs w:val="21"/>
        </w:rPr>
      </w:pPr>
      <w:bookmarkStart w:id="27" w:name="_Toc182865215"/>
      <w:r>
        <w:rPr>
          <w:rFonts w:hint="eastAsia" w:ascii="仿宋" w:hAnsi="仿宋" w:eastAsia="仿宋"/>
          <w:sz w:val="28"/>
          <w:szCs w:val="21"/>
        </w:rPr>
        <w:t>1.项目立项（分值为6分）</w:t>
      </w:r>
      <w:bookmarkEnd w:id="27"/>
    </w:p>
    <w:p w14:paraId="5788F493">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项目立项（6分）主要从立项依据充分性（3分）和立项程序规范性（3分）两个三级指标进行评价。</w:t>
      </w:r>
    </w:p>
    <w:p w14:paraId="2FA4E6C6">
      <w:pPr>
        <w:spacing w:after="0" w:line="408" w:lineRule="auto"/>
        <w:ind w:firstLine="560" w:firstLineChars="200"/>
        <w:jc w:val="both"/>
        <w:outlineLvl w:val="3"/>
        <w:rPr>
          <w:rFonts w:hint="eastAsia" w:ascii="仿宋" w:hAnsi="仿宋" w:eastAsia="仿宋"/>
          <w:sz w:val="28"/>
          <w:szCs w:val="21"/>
        </w:rPr>
      </w:pPr>
      <w:r>
        <w:rPr>
          <w:rFonts w:hint="eastAsia" w:ascii="仿宋" w:hAnsi="仿宋" w:eastAsia="仿宋"/>
          <w:sz w:val="28"/>
          <w:szCs w:val="21"/>
        </w:rPr>
        <w:t>（1）立项依据充分性（分值为3分）</w:t>
      </w:r>
    </w:p>
    <w:p w14:paraId="42CD5E71">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“立项依据充分性”指标用于评价项目立项依据是否充分。</w:t>
      </w:r>
    </w:p>
    <w:p w14:paraId="0296327A">
      <w:pPr>
        <w:spacing w:after="0" w:line="408" w:lineRule="auto"/>
        <w:ind w:firstLine="560" w:firstLineChars="200"/>
        <w:jc w:val="both"/>
        <w:rPr>
          <w:rFonts w:hint="eastAsia" w:ascii="仿宋" w:hAnsi="仿宋" w:eastAsia="仿宋"/>
          <w:sz w:val="28"/>
          <w:szCs w:val="21"/>
          <w:highlight w:val="yellow"/>
        </w:rPr>
      </w:pPr>
      <w:r>
        <w:rPr>
          <w:rFonts w:hint="eastAsia" w:ascii="仿宋" w:hAnsi="仿宋" w:eastAsia="仿宋"/>
          <w:sz w:val="28"/>
          <w:szCs w:val="21"/>
        </w:rPr>
        <w:t>经评价小组调查，2023年洛江区道路交通安全专项资金立项符合国家法律法规、国民经济发展规划和相关政策且项目立项，《关于印发福建省道路交通安全综合整治三年专项行动实施方案（2019-2021年）的通知》（闽政办〔2019〕24号）文件的要求，</w:t>
      </w:r>
      <w:bookmarkStart w:id="28" w:name="_Hlk174978151"/>
      <w:r>
        <w:rPr>
          <w:rFonts w:hint="eastAsia" w:ascii="仿宋" w:hAnsi="仿宋" w:eastAsia="仿宋"/>
          <w:sz w:val="28"/>
          <w:szCs w:val="21"/>
        </w:rPr>
        <w:t>洛江区道路交通安全专项资金</w:t>
      </w:r>
      <w:bookmarkEnd w:id="28"/>
      <w:r>
        <w:rPr>
          <w:rFonts w:hint="eastAsia" w:ascii="仿宋" w:hAnsi="仿宋" w:eastAsia="仿宋"/>
          <w:sz w:val="28"/>
          <w:szCs w:val="21"/>
        </w:rPr>
        <w:t>的立项与泉州市公安局交通警察支队洛江大队的职责范围相符。根据评分标准，此项得3分。</w:t>
      </w:r>
    </w:p>
    <w:p w14:paraId="1090C575">
      <w:pPr>
        <w:spacing w:after="0" w:line="408" w:lineRule="auto"/>
        <w:ind w:firstLine="560" w:firstLineChars="200"/>
        <w:jc w:val="both"/>
        <w:outlineLvl w:val="3"/>
        <w:rPr>
          <w:rFonts w:hint="eastAsia" w:ascii="仿宋" w:hAnsi="仿宋" w:eastAsia="仿宋"/>
          <w:sz w:val="28"/>
          <w:szCs w:val="21"/>
        </w:rPr>
      </w:pPr>
      <w:r>
        <w:rPr>
          <w:rFonts w:hint="eastAsia" w:ascii="仿宋" w:hAnsi="仿宋" w:eastAsia="仿宋"/>
          <w:sz w:val="28"/>
          <w:szCs w:val="21"/>
        </w:rPr>
        <w:t>（2）立项程序规范性（分值为3分）</w:t>
      </w:r>
    </w:p>
    <w:p w14:paraId="5A7E4974">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“立项程序规范性”指标用于评价项目立项程序是否规范。</w:t>
      </w:r>
    </w:p>
    <w:p w14:paraId="3679FB20">
      <w:pPr>
        <w:spacing w:after="0" w:line="408" w:lineRule="auto"/>
        <w:ind w:firstLine="560" w:firstLineChars="200"/>
        <w:jc w:val="both"/>
        <w:rPr>
          <w:rFonts w:hint="eastAsia" w:ascii="仿宋" w:hAnsi="仿宋" w:eastAsia="仿宋"/>
          <w:sz w:val="28"/>
          <w:szCs w:val="21"/>
          <w:highlight w:val="yellow"/>
        </w:rPr>
      </w:pPr>
      <w:r>
        <w:rPr>
          <w:rFonts w:hint="eastAsia" w:ascii="仿宋" w:hAnsi="仿宋" w:eastAsia="仿宋"/>
          <w:sz w:val="28"/>
          <w:szCs w:val="21"/>
        </w:rPr>
        <w:t>经评价小组调研，项目按照规定的程序申请立项，泉州市公安局交通警察支队洛江大队提交的《2023年度洛江区道路交通安全专项资金绩效目标申报表》等材料符合《关于印发福建省道路交通安全综合整治三年专项行动实施方案（2019-2021年）的通知》（闽政办〔2019〕24号）文件的要求。根据评分标准，此项得3分。</w:t>
      </w:r>
    </w:p>
    <w:p w14:paraId="0A343E14">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因此，项目立项合计得6分。</w:t>
      </w:r>
    </w:p>
    <w:p w14:paraId="39A5ABF7">
      <w:pPr>
        <w:spacing w:after="0" w:line="408" w:lineRule="auto"/>
        <w:ind w:firstLine="560" w:firstLineChars="200"/>
        <w:jc w:val="both"/>
        <w:outlineLvl w:val="2"/>
        <w:rPr>
          <w:rFonts w:hint="eastAsia" w:ascii="仿宋" w:hAnsi="仿宋" w:eastAsia="仿宋"/>
          <w:sz w:val="28"/>
          <w:szCs w:val="21"/>
        </w:rPr>
      </w:pPr>
      <w:bookmarkStart w:id="29" w:name="_Toc182865216"/>
      <w:r>
        <w:rPr>
          <w:rFonts w:hint="eastAsia" w:ascii="仿宋" w:hAnsi="仿宋" w:eastAsia="仿宋"/>
          <w:sz w:val="28"/>
          <w:szCs w:val="21"/>
        </w:rPr>
        <w:t>2.绩效目标（分值为6分）</w:t>
      </w:r>
      <w:bookmarkEnd w:id="29"/>
    </w:p>
    <w:p w14:paraId="48FF3AEB">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绩效目标（6分）主要从绩效目标合理性（3分）和绩效目标明确性（3分）两个三级指标进行评价。</w:t>
      </w:r>
    </w:p>
    <w:p w14:paraId="0440A178">
      <w:pPr>
        <w:spacing w:after="0" w:line="408" w:lineRule="auto"/>
        <w:ind w:firstLine="560" w:firstLineChars="200"/>
        <w:jc w:val="both"/>
        <w:outlineLvl w:val="3"/>
        <w:rPr>
          <w:rFonts w:hint="eastAsia" w:ascii="仿宋" w:hAnsi="仿宋" w:eastAsia="仿宋"/>
          <w:sz w:val="28"/>
          <w:szCs w:val="21"/>
        </w:rPr>
      </w:pPr>
      <w:r>
        <w:rPr>
          <w:rFonts w:hint="eastAsia" w:ascii="仿宋" w:hAnsi="仿宋" w:eastAsia="仿宋"/>
          <w:sz w:val="28"/>
          <w:szCs w:val="21"/>
        </w:rPr>
        <w:t>（1）绩效目标合理性（分值为3分）</w:t>
      </w:r>
    </w:p>
    <w:p w14:paraId="3961FBD7">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“绩效目标合理性”指标用于评价项目绩效目标的设置情况。评价主要所设定的绩效目标是否依据充分，是否符合客观实际，用以反映和考核项目绩效目标与项目实施的相符情况。</w:t>
      </w:r>
    </w:p>
    <w:p w14:paraId="1475B57F">
      <w:pPr>
        <w:spacing w:after="0" w:line="408" w:lineRule="auto"/>
        <w:ind w:firstLine="560" w:firstLineChars="200"/>
        <w:jc w:val="both"/>
        <w:rPr>
          <w:rFonts w:hint="eastAsia" w:ascii="仿宋" w:hAnsi="仿宋" w:eastAsia="仿宋"/>
          <w:sz w:val="28"/>
          <w:szCs w:val="21"/>
          <w:highlight w:val="yellow"/>
        </w:rPr>
      </w:pPr>
      <w:r>
        <w:rPr>
          <w:rFonts w:hint="eastAsia" w:ascii="仿宋" w:hAnsi="仿宋" w:eastAsia="仿宋"/>
          <w:sz w:val="28"/>
          <w:szCs w:val="21"/>
        </w:rPr>
        <w:t>经过评价小组审查，泉州市公安局交通警察支队洛江大队绩效目标设置存在不合理之处。例如在“绩效目标表”当中的“八类重点车辆检验率”指标与道路安全隐患整治项目并不相关。根据评分标准，此项得2分，扣1分。</w:t>
      </w:r>
    </w:p>
    <w:p w14:paraId="7210B2BA">
      <w:pPr>
        <w:spacing w:after="0" w:line="408" w:lineRule="auto"/>
        <w:ind w:firstLine="560" w:firstLineChars="200"/>
        <w:jc w:val="both"/>
        <w:outlineLvl w:val="3"/>
        <w:rPr>
          <w:rFonts w:hint="eastAsia" w:ascii="仿宋" w:hAnsi="仿宋" w:eastAsia="仿宋"/>
          <w:sz w:val="28"/>
          <w:szCs w:val="21"/>
        </w:rPr>
      </w:pPr>
      <w:r>
        <w:rPr>
          <w:rFonts w:hint="eastAsia" w:ascii="仿宋" w:hAnsi="仿宋" w:eastAsia="仿宋"/>
          <w:sz w:val="28"/>
          <w:szCs w:val="21"/>
        </w:rPr>
        <w:t>（2）绩效目标明确性（分值为3分）</w:t>
      </w:r>
    </w:p>
    <w:p w14:paraId="45218D2D">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“绩效目标明确性”指标依据绩效目标设定的绩效指标是否清晰、细化、可衡量等，用以反映和考核项目绩效目标的明细化情况。</w:t>
      </w:r>
    </w:p>
    <w:p w14:paraId="48743C3E">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经过评价小组审查，泉州市公安局交通警察支队洛江大队绩效指标的目标值设置清晰、且具备可衡量性。目标值可以被分解细化为具体目标。根据评分标准，此项得3分。</w:t>
      </w:r>
    </w:p>
    <w:p w14:paraId="1E579D3D">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因此，绩效目标合计得5分。</w:t>
      </w:r>
    </w:p>
    <w:p w14:paraId="2B2340F6">
      <w:pPr>
        <w:spacing w:after="0" w:line="408" w:lineRule="auto"/>
        <w:ind w:firstLine="560" w:firstLineChars="200"/>
        <w:jc w:val="both"/>
        <w:outlineLvl w:val="2"/>
        <w:rPr>
          <w:rFonts w:hint="eastAsia" w:ascii="仿宋" w:hAnsi="仿宋" w:eastAsia="仿宋"/>
          <w:sz w:val="28"/>
          <w:szCs w:val="21"/>
        </w:rPr>
      </w:pPr>
      <w:bookmarkStart w:id="30" w:name="_Toc182865217"/>
      <w:r>
        <w:rPr>
          <w:rFonts w:hint="eastAsia" w:ascii="仿宋" w:hAnsi="仿宋" w:eastAsia="仿宋"/>
          <w:sz w:val="28"/>
          <w:szCs w:val="21"/>
        </w:rPr>
        <w:t>3.资金投入（分值为4分）</w:t>
      </w:r>
      <w:bookmarkEnd w:id="30"/>
    </w:p>
    <w:p w14:paraId="3FF848DC">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资金投入（4分）主要从预算编制科学性（2分）和资金分配合理性（2分）两个三级指标进行评价。</w:t>
      </w:r>
    </w:p>
    <w:p w14:paraId="2B3B2D08">
      <w:pPr>
        <w:spacing w:after="0" w:line="408" w:lineRule="auto"/>
        <w:ind w:firstLine="560" w:firstLineChars="200"/>
        <w:jc w:val="both"/>
        <w:outlineLvl w:val="3"/>
        <w:rPr>
          <w:rFonts w:hint="eastAsia" w:ascii="仿宋" w:hAnsi="仿宋" w:eastAsia="仿宋"/>
          <w:sz w:val="28"/>
          <w:szCs w:val="21"/>
        </w:rPr>
      </w:pPr>
      <w:r>
        <w:rPr>
          <w:rFonts w:hint="eastAsia" w:ascii="仿宋" w:hAnsi="仿宋" w:eastAsia="仿宋"/>
          <w:sz w:val="28"/>
          <w:szCs w:val="21"/>
        </w:rPr>
        <w:t>（1）</w:t>
      </w:r>
      <w:bookmarkStart w:id="31" w:name="_Hlk174274167"/>
      <w:r>
        <w:rPr>
          <w:rFonts w:hint="eastAsia" w:ascii="仿宋" w:hAnsi="仿宋" w:eastAsia="仿宋"/>
          <w:sz w:val="28"/>
          <w:szCs w:val="21"/>
        </w:rPr>
        <w:t>预算编制科学性</w:t>
      </w:r>
      <w:bookmarkEnd w:id="31"/>
      <w:r>
        <w:rPr>
          <w:rFonts w:hint="eastAsia" w:ascii="仿宋" w:hAnsi="仿宋" w:eastAsia="仿宋"/>
          <w:sz w:val="28"/>
          <w:szCs w:val="21"/>
        </w:rPr>
        <w:t>（2分）</w:t>
      </w:r>
    </w:p>
    <w:p w14:paraId="419D62CE">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“预算编制科学性”评价项目预算编制是否经过科学论证、有明确标准，资金额度与年度目标是否相适应，用以反映和考核项目预算编制的科学性、合理性情况。</w:t>
      </w:r>
    </w:p>
    <w:p w14:paraId="195E417E">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经过评价小组审查，泉州市公安局交通警察支队洛江大队预算金额与实际项目所支出金额相匹配，预算编制科学合理，预算不存在过高或过低的情况。根据评分标准，此项得2分。</w:t>
      </w:r>
    </w:p>
    <w:p w14:paraId="46F4BBFA">
      <w:pPr>
        <w:spacing w:after="0" w:line="408" w:lineRule="auto"/>
        <w:ind w:firstLine="560" w:firstLineChars="200"/>
        <w:jc w:val="both"/>
        <w:outlineLvl w:val="3"/>
        <w:rPr>
          <w:rFonts w:hint="eastAsia" w:ascii="仿宋" w:hAnsi="仿宋" w:eastAsia="仿宋"/>
          <w:sz w:val="28"/>
          <w:szCs w:val="21"/>
        </w:rPr>
      </w:pPr>
      <w:r>
        <w:rPr>
          <w:rFonts w:hint="eastAsia" w:ascii="仿宋" w:hAnsi="仿宋" w:eastAsia="仿宋"/>
          <w:sz w:val="28"/>
          <w:szCs w:val="21"/>
        </w:rPr>
        <w:t>（2）资金分配合理性（2分）</w:t>
      </w:r>
    </w:p>
    <w:p w14:paraId="64397A3D">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“资金分配合理性”指标用于评价项目预算资金分配是否有测算依据；与补助单位或地方实际是否相适应。用以反映和考核项目预算资金分配的科学性、合理性情况。</w:t>
      </w:r>
    </w:p>
    <w:p w14:paraId="61578377">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经过评价小组审查，2023年度泉州市公安局交通警察支队洛江大队在进行专项资金的分配时资金分配合理，符合项目的实际情况。根据评分标准，此项得2分。</w:t>
      </w:r>
    </w:p>
    <w:p w14:paraId="4B707D21">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因此，资金投入合计得4分。</w:t>
      </w:r>
    </w:p>
    <w:p w14:paraId="6A3FB8EC">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综上所述，项目决策共计16分，得15分。</w:t>
      </w:r>
    </w:p>
    <w:p w14:paraId="189BB9E7">
      <w:pPr>
        <w:spacing w:after="0" w:line="408" w:lineRule="auto"/>
        <w:ind w:firstLine="562" w:firstLineChars="200"/>
        <w:jc w:val="both"/>
        <w:outlineLvl w:val="1"/>
        <w:rPr>
          <w:rFonts w:hint="eastAsia" w:ascii="仿宋" w:hAnsi="仿宋" w:eastAsia="仿宋"/>
          <w:b/>
          <w:sz w:val="28"/>
          <w:szCs w:val="21"/>
        </w:rPr>
      </w:pPr>
      <w:bookmarkStart w:id="32" w:name="_Toc182865218"/>
      <w:r>
        <w:rPr>
          <w:rFonts w:hint="eastAsia" w:ascii="仿宋" w:hAnsi="仿宋" w:eastAsia="仿宋"/>
          <w:b/>
          <w:sz w:val="28"/>
          <w:szCs w:val="21"/>
        </w:rPr>
        <w:t>（二）项目过程情况（权重为20%，得分8分）</w:t>
      </w:r>
      <w:bookmarkEnd w:id="32"/>
    </w:p>
    <w:p w14:paraId="6092215D">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过程指标20分，包括绩效管理9分、组织实施11分等二个二级指标和七个三级指标，主要反映实现绩效目标的监督情况、采购过程情况。</w:t>
      </w:r>
    </w:p>
    <w:p w14:paraId="2D3F2489">
      <w:pPr>
        <w:spacing w:after="0" w:line="408" w:lineRule="auto"/>
        <w:ind w:firstLine="560" w:firstLineChars="200"/>
        <w:jc w:val="both"/>
        <w:outlineLvl w:val="2"/>
        <w:rPr>
          <w:rFonts w:hint="eastAsia" w:ascii="仿宋" w:hAnsi="仿宋" w:eastAsia="仿宋"/>
          <w:sz w:val="28"/>
          <w:szCs w:val="21"/>
          <w:highlight w:val="yellow"/>
        </w:rPr>
      </w:pPr>
      <w:bookmarkStart w:id="33" w:name="_Toc182865219"/>
      <w:r>
        <w:rPr>
          <w:rFonts w:hint="eastAsia" w:ascii="仿宋" w:hAnsi="仿宋" w:eastAsia="仿宋"/>
          <w:sz w:val="28"/>
          <w:szCs w:val="21"/>
        </w:rPr>
        <w:t>1.绩效管理（9分）</w:t>
      </w:r>
      <w:bookmarkEnd w:id="33"/>
    </w:p>
    <w:p w14:paraId="3FD385DB">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绩效管理（9分）主要从绩效自评合规性（3分）、预算执行率（4分）、资金使用合规性（2分）三个三级指标进行评价。</w:t>
      </w:r>
    </w:p>
    <w:p w14:paraId="44F1C945">
      <w:pPr>
        <w:spacing w:after="0" w:line="408" w:lineRule="auto"/>
        <w:ind w:firstLine="560" w:firstLineChars="200"/>
        <w:jc w:val="both"/>
        <w:outlineLvl w:val="3"/>
        <w:rPr>
          <w:rFonts w:hint="eastAsia" w:ascii="仿宋" w:hAnsi="仿宋" w:eastAsia="仿宋"/>
          <w:sz w:val="28"/>
          <w:szCs w:val="21"/>
        </w:rPr>
      </w:pPr>
      <w:r>
        <w:rPr>
          <w:rFonts w:hint="eastAsia" w:ascii="仿宋" w:hAnsi="仿宋" w:eastAsia="仿宋"/>
          <w:sz w:val="28"/>
          <w:szCs w:val="21"/>
        </w:rPr>
        <w:t>（1）绩效自评合规性（3分）</w:t>
      </w:r>
    </w:p>
    <w:p w14:paraId="2CEC6DB7">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“绩效自评合规性”指标用于评价项目的绩效自评表是否按照规定及时报送，自评表的绩效目标设置是否合规合理。</w:t>
      </w:r>
    </w:p>
    <w:p w14:paraId="14E08501">
      <w:pPr>
        <w:spacing w:after="0" w:line="408" w:lineRule="auto"/>
        <w:ind w:firstLine="560" w:firstLineChars="200"/>
        <w:jc w:val="both"/>
        <w:rPr>
          <w:rFonts w:hint="eastAsia" w:ascii="仿宋" w:hAnsi="仿宋" w:eastAsia="仿宋"/>
          <w:sz w:val="28"/>
          <w:szCs w:val="21"/>
        </w:rPr>
      </w:pPr>
      <w:bookmarkStart w:id="34" w:name="_Hlk181624662"/>
      <w:r>
        <w:rPr>
          <w:rFonts w:hint="eastAsia" w:ascii="仿宋" w:hAnsi="仿宋" w:eastAsia="仿宋"/>
          <w:sz w:val="28"/>
          <w:szCs w:val="21"/>
        </w:rPr>
        <w:t>经过评价小组审查，泉州市公安局交通警察支队洛江大队在洛江区道路交通安全专项资金项目中的绩效自评存在不足。在泉州市公安局交通警察支队洛江大队报送的绩效自评表与绩效自评报告中，自评分数均为0分，未在绩效管理一体化系统中正确填写绩效自评分数，自评工作不到位，绩效自评不合规</w:t>
      </w:r>
      <w:bookmarkEnd w:id="34"/>
      <w:r>
        <w:rPr>
          <w:rFonts w:hint="eastAsia" w:ascii="仿宋" w:hAnsi="仿宋" w:eastAsia="仿宋"/>
          <w:sz w:val="28"/>
          <w:szCs w:val="21"/>
        </w:rPr>
        <w:t>。根据评分标准，此项扣3分，得0分。</w:t>
      </w:r>
    </w:p>
    <w:p w14:paraId="07061B99">
      <w:pPr>
        <w:spacing w:after="0" w:line="408" w:lineRule="auto"/>
        <w:ind w:firstLine="560" w:firstLineChars="200"/>
        <w:jc w:val="both"/>
        <w:outlineLvl w:val="3"/>
        <w:rPr>
          <w:rFonts w:hint="eastAsia" w:ascii="仿宋" w:hAnsi="仿宋" w:eastAsia="仿宋"/>
          <w:sz w:val="28"/>
          <w:szCs w:val="21"/>
        </w:rPr>
      </w:pPr>
      <w:r>
        <w:rPr>
          <w:rFonts w:hint="eastAsia" w:ascii="仿宋" w:hAnsi="仿宋" w:eastAsia="仿宋"/>
          <w:sz w:val="28"/>
          <w:szCs w:val="21"/>
        </w:rPr>
        <w:t>（2）预算执行率（4分）</w:t>
      </w:r>
    </w:p>
    <w:p w14:paraId="56AEE293">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“预算执行率”指标用于评价项目实施过程中项目预算资金是否按照计划执行，用以反映或考核项目预算执行情况（预算执行率=实际支付资金金额/项目预算资金总额*100%）。</w:t>
      </w:r>
    </w:p>
    <w:p w14:paraId="0E36FDCB">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经过评价小组审查，泉州市公安局交通警察支队洛江大队在洛江区道路交通安全专项资金项目中全年预算金额为166.5321万元。2023年度实际从财政收到163.8821元。整体项目支出金额为163.7121万元，其中2023年支出金额为57.7021万元，2024年支出金额为106.01万元。2023年度预算执行金额（实际支出金额）为35.21%。（预算执行率=57.7021/163.8821*100%=35.21%）。根据评分标准，此项扣3分，得1分。</w:t>
      </w:r>
    </w:p>
    <w:p w14:paraId="3B60ACC3">
      <w:pPr>
        <w:spacing w:after="0" w:line="408" w:lineRule="auto"/>
        <w:ind w:firstLine="560" w:firstLineChars="200"/>
        <w:jc w:val="both"/>
        <w:outlineLvl w:val="3"/>
        <w:rPr>
          <w:rFonts w:hint="eastAsia" w:ascii="仿宋" w:hAnsi="仿宋" w:eastAsia="仿宋"/>
          <w:sz w:val="28"/>
          <w:szCs w:val="21"/>
        </w:rPr>
      </w:pPr>
      <w:r>
        <w:rPr>
          <w:rFonts w:hint="eastAsia" w:ascii="仿宋" w:hAnsi="仿宋" w:eastAsia="仿宋"/>
          <w:sz w:val="28"/>
          <w:szCs w:val="21"/>
        </w:rPr>
        <w:t>（3）资金使用合规性（2分）</w:t>
      </w:r>
    </w:p>
    <w:p w14:paraId="6F715E8E">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“资金使用合规性”指标用于评价项目资金使用是否符合相关的财务管理制度规定，用以反映和考核项目资金的规范运行情况。</w:t>
      </w:r>
    </w:p>
    <w:p w14:paraId="6B454EEA">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经过评价小组审查，泉州市公安局交通警察支队洛江大队在洛江区道路交通安全专项资金项目中资金使用符合国家财经法规和财务管理制度以及有关专项资金管理办法的规定，在资金使用过程中不存在截留、挤占、挪用、虚列支出等情况。根据评分标准，此项得2分。</w:t>
      </w:r>
    </w:p>
    <w:p w14:paraId="31D29CAB">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因此，绩效管理合计得3分。</w:t>
      </w:r>
    </w:p>
    <w:p w14:paraId="6143D04C">
      <w:pPr>
        <w:spacing w:after="0" w:line="408" w:lineRule="auto"/>
        <w:ind w:firstLine="560" w:firstLineChars="200"/>
        <w:jc w:val="both"/>
        <w:outlineLvl w:val="2"/>
        <w:rPr>
          <w:rFonts w:hint="eastAsia" w:ascii="仿宋" w:hAnsi="仿宋" w:eastAsia="仿宋"/>
          <w:sz w:val="28"/>
          <w:szCs w:val="21"/>
        </w:rPr>
      </w:pPr>
      <w:bookmarkStart w:id="35" w:name="_Toc182865220"/>
      <w:r>
        <w:rPr>
          <w:rFonts w:hint="eastAsia" w:ascii="仿宋" w:hAnsi="仿宋" w:eastAsia="仿宋"/>
          <w:sz w:val="28"/>
          <w:szCs w:val="21"/>
        </w:rPr>
        <w:t>2.组织实施（11分）</w:t>
      </w:r>
      <w:bookmarkEnd w:id="35"/>
    </w:p>
    <w:p w14:paraId="48C8EA0C">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组织实施（11分）主要从合同规范性（4分）、履行合同义务的规范性（4分）、付款进度的合规性（1分）、对项目实施情况的了解程度（2分）四个三级指标进行评价。</w:t>
      </w:r>
    </w:p>
    <w:p w14:paraId="622A86AA">
      <w:pPr>
        <w:spacing w:after="0" w:line="408" w:lineRule="auto"/>
        <w:ind w:firstLine="560" w:firstLineChars="200"/>
        <w:jc w:val="both"/>
        <w:outlineLvl w:val="3"/>
        <w:rPr>
          <w:rFonts w:hint="eastAsia" w:ascii="仿宋" w:hAnsi="仿宋" w:eastAsia="仿宋"/>
          <w:sz w:val="28"/>
          <w:szCs w:val="21"/>
        </w:rPr>
      </w:pPr>
      <w:r>
        <w:rPr>
          <w:rFonts w:hint="eastAsia" w:ascii="仿宋" w:hAnsi="仿宋" w:eastAsia="仿宋"/>
          <w:sz w:val="28"/>
          <w:szCs w:val="21"/>
        </w:rPr>
        <w:t>（1）合同规范性（4分）</w:t>
      </w:r>
    </w:p>
    <w:p w14:paraId="5806741B">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“合同规范性”指标用于评价项目采购合同的合同条款、合同签字、合同盖章、权利义务的约定等各类合同要素是否符合《中华人民共和国民法典》《政府采购需求管理办法》对相关合同的规定。</w:t>
      </w:r>
    </w:p>
    <w:p w14:paraId="1EA15A50">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经过评价小组审查，泉州市公安局交通警察支队洛江大队在洛江区道路交通安全专项资金项目中部分合同的签订存在不规范之处。在与福建忠安建设发展有限公司签订的零星交通设施工程施工合同中乙方福建忠安建设发展有限公司并未签字或盖法人章。在与泉州市扬帆交通设施有限公司签订的洛江区部分学校周边路段视频监控施工合同中未明确合同的签订日期及施工日期。合同规范性存在不足。根据评分标准，此项扣2分，得2分。</w:t>
      </w:r>
    </w:p>
    <w:p w14:paraId="1BF7D439">
      <w:pPr>
        <w:spacing w:after="0" w:line="408" w:lineRule="auto"/>
        <w:ind w:firstLine="560" w:firstLineChars="200"/>
        <w:jc w:val="both"/>
        <w:outlineLvl w:val="3"/>
        <w:rPr>
          <w:rFonts w:hint="eastAsia" w:ascii="仿宋" w:hAnsi="仿宋" w:eastAsia="仿宋"/>
          <w:sz w:val="28"/>
          <w:szCs w:val="21"/>
        </w:rPr>
      </w:pPr>
      <w:r>
        <w:rPr>
          <w:rFonts w:hint="eastAsia" w:ascii="仿宋" w:hAnsi="仿宋" w:eastAsia="仿宋"/>
          <w:sz w:val="28"/>
          <w:szCs w:val="21"/>
        </w:rPr>
        <w:t>（2）履行合同义务的规范性（4分）</w:t>
      </w:r>
    </w:p>
    <w:p w14:paraId="559E1E63">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“履行合同义务的规范性”指标用于</w:t>
      </w:r>
      <w:bookmarkStart w:id="36" w:name="_Hlk181617019"/>
      <w:r>
        <w:rPr>
          <w:rFonts w:hint="eastAsia" w:ascii="仿宋" w:hAnsi="仿宋" w:eastAsia="仿宋"/>
          <w:sz w:val="28"/>
          <w:szCs w:val="21"/>
        </w:rPr>
        <w:t>评价</w:t>
      </w:r>
      <w:bookmarkEnd w:id="36"/>
      <w:r>
        <w:rPr>
          <w:rFonts w:hint="eastAsia" w:ascii="仿宋" w:hAnsi="仿宋" w:eastAsia="仿宋"/>
          <w:sz w:val="28"/>
          <w:szCs w:val="21"/>
        </w:rPr>
        <w:t>合同在履行的过程中是否按照合同的约定进行履行。</w:t>
      </w:r>
    </w:p>
    <w:p w14:paraId="57DCBC8D">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经过评价小组审查，</w:t>
      </w:r>
      <w:bookmarkStart w:id="37" w:name="_Hlk181617387"/>
      <w:r>
        <w:rPr>
          <w:rFonts w:hint="eastAsia" w:ascii="仿宋" w:hAnsi="仿宋" w:eastAsia="仿宋"/>
          <w:sz w:val="28"/>
          <w:szCs w:val="21"/>
        </w:rPr>
        <w:t>泉州市公安局交通警察支队洛江大队在洛江区道路交通安全专项资金项目中</w:t>
      </w:r>
      <w:bookmarkEnd w:id="37"/>
      <w:r>
        <w:rPr>
          <w:rFonts w:hint="eastAsia" w:ascii="仿宋" w:hAnsi="仿宋" w:eastAsia="仿宋"/>
          <w:sz w:val="28"/>
          <w:szCs w:val="21"/>
        </w:rPr>
        <w:t>部分合同的履约存在不规范之处。在与福建省冠乔建设管理有限公司签订的招标代理费中，合同约定金额为3489元，发票及付款申请单金额均为3489元，但实际泉州市公安局交通警察支队洛江大队仅付款2000元，且双方未签订补充合同，故在履行合同义务的规范性上存在不足。根据评分标准，此项扣3分，得1分。</w:t>
      </w:r>
    </w:p>
    <w:p w14:paraId="31EAD8D1">
      <w:pPr>
        <w:spacing w:after="0" w:line="408" w:lineRule="auto"/>
        <w:ind w:firstLine="560" w:firstLineChars="200"/>
        <w:jc w:val="both"/>
        <w:outlineLvl w:val="3"/>
        <w:rPr>
          <w:rFonts w:hint="eastAsia" w:ascii="仿宋" w:hAnsi="仿宋" w:eastAsia="仿宋"/>
          <w:sz w:val="28"/>
          <w:szCs w:val="21"/>
        </w:rPr>
      </w:pPr>
      <w:r>
        <w:rPr>
          <w:rFonts w:hint="eastAsia" w:ascii="仿宋" w:hAnsi="仿宋" w:eastAsia="仿宋"/>
          <w:sz w:val="28"/>
          <w:szCs w:val="21"/>
        </w:rPr>
        <w:t>（3）付款进度的合规性（1分）</w:t>
      </w:r>
    </w:p>
    <w:p w14:paraId="342EB2E8">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“付款进度的合规性”指标用于评价项目实施过程中支付采购款是否有按照采购合同约定的付款进度进行付款。</w:t>
      </w:r>
    </w:p>
    <w:p w14:paraId="48313B6C">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经过评价小组审查，泉州市公安局交通警察支队洛江大队在洛江区道路交通安全专项资金项目中的付款进度符合合同的约定，有及时的付款，不存在延期付款拖延付款的情况。根据评分标准，此项得1分。</w:t>
      </w:r>
    </w:p>
    <w:p w14:paraId="07EA7D2B">
      <w:pPr>
        <w:spacing w:after="0" w:line="408" w:lineRule="auto"/>
        <w:ind w:firstLine="560" w:firstLineChars="200"/>
        <w:jc w:val="both"/>
        <w:outlineLvl w:val="3"/>
        <w:rPr>
          <w:rFonts w:hint="eastAsia" w:ascii="仿宋" w:hAnsi="仿宋" w:eastAsia="仿宋"/>
          <w:sz w:val="28"/>
          <w:szCs w:val="21"/>
        </w:rPr>
      </w:pPr>
      <w:r>
        <w:rPr>
          <w:rFonts w:hint="eastAsia" w:ascii="仿宋" w:hAnsi="仿宋" w:eastAsia="仿宋"/>
          <w:sz w:val="28"/>
          <w:szCs w:val="21"/>
        </w:rPr>
        <w:t>（4）对项目实施情况的了解程度（2分）</w:t>
      </w:r>
    </w:p>
    <w:p w14:paraId="65D3ABD1">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“对项目实施情况的了解程度”指标用于评价主管单位对项目的开展及实施情况是否了解。</w:t>
      </w:r>
    </w:p>
    <w:p w14:paraId="532F2988">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经过评价小组审查，泉州市公安局交通警察支队洛江大队在洛江区道路交通安全专项资金项目中关于业务的经办人员对项目的细节了解程度存在不足。根据评分标准，此项扣1分，得1分。</w:t>
      </w:r>
    </w:p>
    <w:p w14:paraId="1278017B">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因此，组织实施合计得5分。</w:t>
      </w:r>
    </w:p>
    <w:p w14:paraId="55A8171D">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综上所述，项目过程共计20分，得8分。</w:t>
      </w:r>
    </w:p>
    <w:p w14:paraId="12C7820E">
      <w:pPr>
        <w:spacing w:after="0" w:line="408" w:lineRule="auto"/>
        <w:ind w:firstLine="562" w:firstLineChars="200"/>
        <w:jc w:val="both"/>
        <w:outlineLvl w:val="1"/>
        <w:rPr>
          <w:rFonts w:hint="eastAsia" w:ascii="仿宋" w:hAnsi="仿宋" w:eastAsia="仿宋"/>
          <w:b/>
          <w:sz w:val="28"/>
          <w:szCs w:val="21"/>
        </w:rPr>
      </w:pPr>
      <w:bookmarkStart w:id="38" w:name="_Toc182865221"/>
      <w:r>
        <w:rPr>
          <w:rFonts w:hint="eastAsia" w:ascii="仿宋" w:hAnsi="仿宋" w:eastAsia="仿宋"/>
          <w:b/>
          <w:sz w:val="28"/>
          <w:szCs w:val="21"/>
        </w:rPr>
        <w:t>（三）项目产出情况（权重为30%，得分27分）</w:t>
      </w:r>
      <w:bookmarkEnd w:id="38"/>
    </w:p>
    <w:p w14:paraId="487CC8ED">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产出指标30分，包括产出数量20分、产出质量8分，产出成本2分，三个二级指标和九个三级指标，主要反映实现绩效目标的产出数量情况和产出质量情况。</w:t>
      </w:r>
    </w:p>
    <w:p w14:paraId="08734591">
      <w:pPr>
        <w:spacing w:after="0" w:line="408" w:lineRule="auto"/>
        <w:ind w:firstLine="560" w:firstLineChars="200"/>
        <w:jc w:val="both"/>
        <w:outlineLvl w:val="2"/>
        <w:rPr>
          <w:rFonts w:hint="eastAsia" w:ascii="仿宋" w:hAnsi="仿宋" w:eastAsia="仿宋"/>
          <w:sz w:val="28"/>
          <w:szCs w:val="21"/>
        </w:rPr>
      </w:pPr>
      <w:bookmarkStart w:id="39" w:name="_Toc182865222"/>
      <w:r>
        <w:rPr>
          <w:rFonts w:hint="eastAsia" w:ascii="仿宋" w:hAnsi="仿宋" w:eastAsia="仿宋"/>
          <w:sz w:val="28"/>
          <w:szCs w:val="21"/>
        </w:rPr>
        <w:t>1.产出数量（分值为20分）</w:t>
      </w:r>
      <w:bookmarkEnd w:id="39"/>
    </w:p>
    <w:p w14:paraId="5DF7DCA2">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产出数量（20分）主要从整治道路排查隐患点的数量（4分）、交通事故死亡人数（4分）、交通事故处置平均时间（4分）、交通事故数量（4分）、道路交通事故财产损失的金额（4分）五个三级指标进行评价。</w:t>
      </w:r>
    </w:p>
    <w:p w14:paraId="35BE6328">
      <w:pPr>
        <w:spacing w:after="0" w:line="408" w:lineRule="auto"/>
        <w:ind w:firstLine="560" w:firstLineChars="200"/>
        <w:jc w:val="both"/>
        <w:outlineLvl w:val="3"/>
        <w:rPr>
          <w:rFonts w:hint="eastAsia" w:ascii="仿宋" w:hAnsi="仿宋" w:eastAsia="仿宋"/>
          <w:sz w:val="28"/>
          <w:szCs w:val="21"/>
        </w:rPr>
      </w:pPr>
      <w:r>
        <w:rPr>
          <w:rFonts w:hint="eastAsia" w:ascii="仿宋" w:hAnsi="仿宋" w:eastAsia="仿宋"/>
          <w:sz w:val="28"/>
          <w:szCs w:val="21"/>
        </w:rPr>
        <w:t>（1）整治道路排查隐患点的数量（4分）</w:t>
      </w:r>
    </w:p>
    <w:p w14:paraId="5120EC73">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“整治道路排查隐患点的数量”指标用于评价本年度整治道路排查隐患点的数量，用于考核道路整治的努力程度。</w:t>
      </w:r>
    </w:p>
    <w:p w14:paraId="0A5FC4E7">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经过评价小组审查，根据泉州市公安局交通警察支队洛江大队所提供资料中所示，2023年度在洛江区道路交通安全专项资金项目中共计整治道路排查隐患点数为55处。根据评分标准，此项得4分。</w:t>
      </w:r>
    </w:p>
    <w:p w14:paraId="7907C48C">
      <w:pPr>
        <w:spacing w:after="0" w:line="408" w:lineRule="auto"/>
        <w:ind w:firstLine="560" w:firstLineChars="200"/>
        <w:jc w:val="both"/>
        <w:outlineLvl w:val="3"/>
        <w:rPr>
          <w:rFonts w:hint="eastAsia" w:ascii="仿宋" w:hAnsi="仿宋" w:eastAsia="仿宋"/>
          <w:sz w:val="28"/>
          <w:szCs w:val="21"/>
        </w:rPr>
      </w:pPr>
      <w:r>
        <w:rPr>
          <w:rFonts w:hint="eastAsia" w:ascii="仿宋" w:hAnsi="仿宋" w:eastAsia="仿宋"/>
          <w:sz w:val="28"/>
          <w:szCs w:val="21"/>
        </w:rPr>
        <w:t>（2）交通事故死亡人数（4分）</w:t>
      </w:r>
    </w:p>
    <w:p w14:paraId="2654477F">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“交通事故死亡人数”指标用于评价2023年度在交通事故中死亡的人数。</w:t>
      </w:r>
    </w:p>
    <w:p w14:paraId="75FB3B95">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经过评价小组审查，根据泉州市公安局交通警察支队洛江大队所提供资料中所示，2023年度在洛江区道路交通安全专项资金项目中共计交通事故死亡人数为13人。根据评分标准，此项得4分。</w:t>
      </w:r>
    </w:p>
    <w:p w14:paraId="0F0F81D0">
      <w:pPr>
        <w:spacing w:after="0" w:line="408" w:lineRule="auto"/>
        <w:ind w:firstLine="560" w:firstLineChars="200"/>
        <w:jc w:val="both"/>
        <w:outlineLvl w:val="3"/>
        <w:rPr>
          <w:rFonts w:hint="eastAsia" w:ascii="仿宋" w:hAnsi="仿宋" w:eastAsia="仿宋"/>
          <w:sz w:val="28"/>
          <w:szCs w:val="21"/>
        </w:rPr>
      </w:pPr>
      <w:r>
        <w:rPr>
          <w:rFonts w:hint="eastAsia" w:ascii="仿宋" w:hAnsi="仿宋" w:eastAsia="仿宋"/>
          <w:sz w:val="28"/>
          <w:szCs w:val="21"/>
        </w:rPr>
        <w:t>（3）交通事故处置平均时间（4分）</w:t>
      </w:r>
    </w:p>
    <w:p w14:paraId="37CD629D">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“交通事故处置平均时间”指标用于评价2023年度交通事故处置的平均时间达到多少分钟。</w:t>
      </w:r>
    </w:p>
    <w:p w14:paraId="522EBBEF">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经过评价小组审查，根据泉州市公安局交通警察支队洛江大队所提供资料中所示，2023年度在洛江区道路交通安全专项资金项目中交通事故处置平均时间为33分钟。根据评分标准，此项得4分。</w:t>
      </w:r>
    </w:p>
    <w:p w14:paraId="67BF306D">
      <w:pPr>
        <w:spacing w:after="0" w:line="408" w:lineRule="auto"/>
        <w:ind w:firstLine="560" w:firstLineChars="200"/>
        <w:jc w:val="both"/>
        <w:outlineLvl w:val="3"/>
        <w:rPr>
          <w:rFonts w:hint="eastAsia" w:ascii="仿宋" w:hAnsi="仿宋" w:eastAsia="仿宋"/>
          <w:sz w:val="28"/>
          <w:szCs w:val="21"/>
        </w:rPr>
      </w:pPr>
      <w:r>
        <w:rPr>
          <w:rFonts w:hint="eastAsia" w:ascii="仿宋" w:hAnsi="仿宋" w:eastAsia="仿宋"/>
          <w:sz w:val="28"/>
          <w:szCs w:val="21"/>
        </w:rPr>
        <w:t>（4）交通事故数量（4分）</w:t>
      </w:r>
    </w:p>
    <w:p w14:paraId="681C7DE0">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“交通事故数量”指标用于评价2023年度在洛江区全区发生道路交通事故的次数。</w:t>
      </w:r>
    </w:p>
    <w:p w14:paraId="2DC4ED89">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经过评价小组审查，根据泉州市公安局交通警察支队洛江大队所提供资料中所示，2023年度在洛江区道路交通安全专项资金项目中交通事故数量为30起。根据评分标准，此项得4分。</w:t>
      </w:r>
    </w:p>
    <w:p w14:paraId="596B20A9">
      <w:pPr>
        <w:spacing w:after="0" w:line="408" w:lineRule="auto"/>
        <w:ind w:firstLine="560" w:firstLineChars="200"/>
        <w:jc w:val="both"/>
        <w:outlineLvl w:val="3"/>
        <w:rPr>
          <w:rFonts w:hint="eastAsia" w:ascii="仿宋" w:hAnsi="仿宋" w:eastAsia="仿宋"/>
          <w:sz w:val="28"/>
          <w:szCs w:val="21"/>
        </w:rPr>
      </w:pPr>
      <w:r>
        <w:rPr>
          <w:rFonts w:hint="eastAsia" w:ascii="仿宋" w:hAnsi="仿宋" w:eastAsia="仿宋"/>
          <w:sz w:val="28"/>
          <w:szCs w:val="21"/>
        </w:rPr>
        <w:t>（5）道路交通事故财产损失的金额（4分）</w:t>
      </w:r>
    </w:p>
    <w:p w14:paraId="7DD0E0C9">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“道路交通事故财产损失的金额”指标用于评价2023年度发生道路交通事故导致发生财产损失的金额量。</w:t>
      </w:r>
    </w:p>
    <w:p w14:paraId="514C86B7">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经过评价小组审查，根据泉州市公安局交通警察支队洛江大队所提供资料中所示，2023年度在洛江区道路交通安全专项资金项目中道路交通事故财产损失的金额共计9500元。根据评分标准，此项得4分。</w:t>
      </w:r>
    </w:p>
    <w:p w14:paraId="06E1CC39">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因此，产出数量合计得20分</w:t>
      </w:r>
    </w:p>
    <w:p w14:paraId="6888334C">
      <w:pPr>
        <w:spacing w:after="0" w:line="408" w:lineRule="auto"/>
        <w:ind w:firstLine="560" w:firstLineChars="200"/>
        <w:jc w:val="both"/>
        <w:outlineLvl w:val="2"/>
        <w:rPr>
          <w:rFonts w:hint="eastAsia" w:ascii="仿宋" w:hAnsi="仿宋" w:eastAsia="仿宋"/>
          <w:sz w:val="28"/>
          <w:szCs w:val="21"/>
        </w:rPr>
      </w:pPr>
      <w:bookmarkStart w:id="40" w:name="_Toc182865223"/>
      <w:r>
        <w:rPr>
          <w:rFonts w:hint="eastAsia" w:ascii="仿宋" w:hAnsi="仿宋" w:eastAsia="仿宋"/>
          <w:sz w:val="28"/>
          <w:szCs w:val="21"/>
        </w:rPr>
        <w:t>2.产出质量（分值为8分）</w:t>
      </w:r>
      <w:bookmarkEnd w:id="40"/>
    </w:p>
    <w:p w14:paraId="3EE9E315">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产出质量（8分）主要从项目验收合格率情况（2分）、项目验收的规范性（4分）、对交通设施的维护情况（2分）三个三级指标进行评价。</w:t>
      </w:r>
    </w:p>
    <w:p w14:paraId="5ECB899D">
      <w:pPr>
        <w:spacing w:after="0" w:line="408" w:lineRule="auto"/>
        <w:ind w:firstLine="560" w:firstLineChars="200"/>
        <w:jc w:val="both"/>
        <w:outlineLvl w:val="3"/>
        <w:rPr>
          <w:rFonts w:hint="eastAsia" w:ascii="仿宋" w:hAnsi="仿宋" w:eastAsia="仿宋"/>
          <w:sz w:val="28"/>
          <w:szCs w:val="21"/>
        </w:rPr>
      </w:pPr>
      <w:r>
        <w:rPr>
          <w:rFonts w:hint="eastAsia" w:ascii="仿宋" w:hAnsi="仿宋" w:eastAsia="仿宋"/>
          <w:sz w:val="28"/>
          <w:szCs w:val="21"/>
        </w:rPr>
        <w:t>（1）项目验收合格率情况（2分）</w:t>
      </w:r>
    </w:p>
    <w:p w14:paraId="53646DC3">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“项目验收合格率情况”指标用于评价2023年度在洛江区道路交通安全专项资金项目所建设的各类子项目是否全部验收合格。</w:t>
      </w:r>
    </w:p>
    <w:p w14:paraId="44D4E3EB">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经过评价小组审查，根据泉州市公安局交通警察支队洛江大队所提供资料中所示，2023年度在洛江区道路交通安全专项资金项目中开展了洛江部分隐患路段整治项目，部分信号灯路口分道牌监控牌整改工程项目，部分学校周边路段视频监控项目，电子警察项目，交通标志标线项目，共计5个项目，5个项目均验收合格。根据评分标准，此项得2分。</w:t>
      </w:r>
    </w:p>
    <w:p w14:paraId="78DEEA67">
      <w:pPr>
        <w:spacing w:after="0" w:line="408" w:lineRule="auto"/>
        <w:ind w:firstLine="560" w:firstLineChars="200"/>
        <w:jc w:val="both"/>
        <w:outlineLvl w:val="3"/>
        <w:rPr>
          <w:rFonts w:hint="eastAsia" w:ascii="仿宋" w:hAnsi="仿宋" w:eastAsia="仿宋"/>
          <w:sz w:val="28"/>
          <w:szCs w:val="21"/>
        </w:rPr>
      </w:pPr>
      <w:r>
        <w:rPr>
          <w:rFonts w:hint="eastAsia" w:ascii="仿宋" w:hAnsi="仿宋" w:eastAsia="仿宋"/>
          <w:sz w:val="28"/>
          <w:szCs w:val="21"/>
        </w:rPr>
        <w:t>（2）项目验收的规范性（4分）</w:t>
      </w:r>
    </w:p>
    <w:p w14:paraId="3382935E">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“项目验收的规范性”指标用于评价项目的验收是否遵循《建设工程施工质量验收统一标准》，是否有相关单位的验收签章，验收过程是否合规。</w:t>
      </w:r>
    </w:p>
    <w:p w14:paraId="529B30AD">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经过评价小组审查，泉州市公安局交通警察支队洛江大队在洛江区道路交通安全专项资金项目中有部分项目验收存在不管不规范之处。例如，在洛江区部分学校周边路段视频监控项目验收单中项目验收日期，施工日期，竣工日期均未填写。根据评分标准，此项扣2分，得2分。</w:t>
      </w:r>
    </w:p>
    <w:p w14:paraId="3BFDE986">
      <w:pPr>
        <w:spacing w:after="0" w:line="408" w:lineRule="auto"/>
        <w:ind w:firstLine="560" w:firstLineChars="200"/>
        <w:jc w:val="both"/>
        <w:outlineLvl w:val="3"/>
        <w:rPr>
          <w:rFonts w:hint="eastAsia" w:ascii="仿宋" w:hAnsi="仿宋" w:eastAsia="仿宋"/>
          <w:sz w:val="28"/>
          <w:szCs w:val="21"/>
        </w:rPr>
      </w:pPr>
      <w:r>
        <w:rPr>
          <w:rFonts w:hint="eastAsia" w:ascii="仿宋" w:hAnsi="仿宋" w:eastAsia="仿宋"/>
          <w:sz w:val="28"/>
          <w:szCs w:val="21"/>
        </w:rPr>
        <w:t>（3）对交通设施的维护情况（2分）</w:t>
      </w:r>
    </w:p>
    <w:p w14:paraId="065DF844">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“对交通设施的维护情况”指标用于评价在项目建设完工后是否定期对交通设施进行检查，维护，保养。</w:t>
      </w:r>
    </w:p>
    <w:p w14:paraId="4FC3F57D">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经过评价小组审查，泉州市公安局交通警察支队洛江大队在洛江区道路交通安全专项资金项目的后续维护保养中存在不足之处。评价小组通过询问负责维护的第三方单位福建宇茂源建设有限公司的工作人员了解到泉州市公安局交通警察支队洛江大队对项目的维护并非采用定期维护（例按月维护）的方式，而是等到有相关的群众投诉或交警巡逻发现等方式发现有部分道路设备损坏需要维护时才进行维护。此项扣1分，得1分。</w:t>
      </w:r>
    </w:p>
    <w:p w14:paraId="7BDFC011">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因此，产出质量合计得5分。</w:t>
      </w:r>
    </w:p>
    <w:p w14:paraId="5D0D770C">
      <w:pPr>
        <w:spacing w:after="0" w:line="408" w:lineRule="auto"/>
        <w:ind w:firstLine="560" w:firstLineChars="200"/>
        <w:jc w:val="both"/>
        <w:outlineLvl w:val="2"/>
        <w:rPr>
          <w:rFonts w:hint="eastAsia" w:ascii="仿宋" w:hAnsi="仿宋" w:eastAsia="仿宋"/>
          <w:sz w:val="28"/>
          <w:szCs w:val="21"/>
        </w:rPr>
      </w:pPr>
      <w:bookmarkStart w:id="41" w:name="_Toc182865224"/>
      <w:r>
        <w:rPr>
          <w:rFonts w:hint="eastAsia" w:ascii="仿宋" w:hAnsi="仿宋" w:eastAsia="仿宋"/>
          <w:sz w:val="28"/>
          <w:szCs w:val="21"/>
        </w:rPr>
        <w:t>3.产出成本（分值为2分）</w:t>
      </w:r>
      <w:bookmarkEnd w:id="41"/>
    </w:p>
    <w:p w14:paraId="689CE983">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产出成本（2分）主要从项目投入金额（2分）一个三级指标进行评价。</w:t>
      </w:r>
    </w:p>
    <w:p w14:paraId="66B744D8">
      <w:pPr>
        <w:spacing w:after="0" w:line="408" w:lineRule="auto"/>
        <w:ind w:firstLine="560" w:firstLineChars="200"/>
        <w:jc w:val="both"/>
        <w:outlineLvl w:val="3"/>
        <w:rPr>
          <w:rFonts w:hint="eastAsia" w:ascii="仿宋" w:hAnsi="仿宋" w:eastAsia="仿宋"/>
          <w:sz w:val="28"/>
          <w:szCs w:val="21"/>
        </w:rPr>
      </w:pPr>
      <w:r>
        <w:rPr>
          <w:rFonts w:hint="eastAsia" w:ascii="仿宋" w:hAnsi="仿宋" w:eastAsia="仿宋"/>
          <w:sz w:val="28"/>
          <w:szCs w:val="21"/>
        </w:rPr>
        <w:t>（1）项目投入金额（2分）</w:t>
      </w:r>
    </w:p>
    <w:p w14:paraId="1FD8EEC8">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“项目投入金额”指标用于评价2023年度洛江区道路交通安全专项资金项目中实际支出的金额是否超出预算的金额。</w:t>
      </w:r>
    </w:p>
    <w:p w14:paraId="5C8EB35D">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经过评价小组审查，根据泉州市公安局交通警察支队洛江大队所提供资料中所示，2023年度在洛江区道路交通安全专项资金项目中2023年度全年预算金额为166.5321万元，整体项目支出金额为163.7121万元，项目支出金额小于项目预算金额。根据评分标准，此项得2分。</w:t>
      </w:r>
    </w:p>
    <w:p w14:paraId="2A71AD71">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因此，产出成本合计得2分。</w:t>
      </w:r>
    </w:p>
    <w:p w14:paraId="6FD02800">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综上所述，项目产出共30分，得27分。</w:t>
      </w:r>
    </w:p>
    <w:p w14:paraId="643A1A5B">
      <w:pPr>
        <w:spacing w:after="0" w:line="408" w:lineRule="auto"/>
        <w:ind w:firstLine="562" w:firstLineChars="200"/>
        <w:jc w:val="both"/>
        <w:outlineLvl w:val="1"/>
        <w:rPr>
          <w:rFonts w:hint="eastAsia" w:ascii="仿宋" w:hAnsi="仿宋" w:eastAsia="仿宋"/>
          <w:b/>
          <w:sz w:val="28"/>
          <w:szCs w:val="21"/>
        </w:rPr>
      </w:pPr>
      <w:bookmarkStart w:id="42" w:name="_Toc182865225"/>
      <w:r>
        <w:rPr>
          <w:rFonts w:hint="eastAsia" w:ascii="仿宋" w:hAnsi="仿宋" w:eastAsia="仿宋"/>
          <w:b/>
          <w:sz w:val="28"/>
          <w:szCs w:val="21"/>
        </w:rPr>
        <w:t>（四）项目效益情况（权重为34%，得分32分）</w:t>
      </w:r>
      <w:bookmarkEnd w:id="42"/>
    </w:p>
    <w:p w14:paraId="6FFA1BA3">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效益指标34分，包括社会效益25分、经济效益5分、满意度4分等三个二级指标和七个三级指标，主要反映实现绩效目标的社会效益，经济效益与满意度情况。</w:t>
      </w:r>
    </w:p>
    <w:p w14:paraId="60964D40">
      <w:pPr>
        <w:spacing w:after="0" w:line="408" w:lineRule="auto"/>
        <w:ind w:firstLine="560" w:firstLineChars="200"/>
        <w:jc w:val="both"/>
        <w:outlineLvl w:val="2"/>
        <w:rPr>
          <w:rFonts w:hint="eastAsia" w:ascii="仿宋" w:hAnsi="仿宋" w:eastAsia="仿宋"/>
          <w:sz w:val="28"/>
          <w:szCs w:val="21"/>
        </w:rPr>
      </w:pPr>
      <w:bookmarkStart w:id="43" w:name="_Toc182865226"/>
      <w:r>
        <w:rPr>
          <w:rFonts w:hint="eastAsia" w:ascii="仿宋" w:hAnsi="仿宋" w:eastAsia="仿宋"/>
          <w:sz w:val="28"/>
          <w:szCs w:val="21"/>
        </w:rPr>
        <w:t>1.社会效益（25分）</w:t>
      </w:r>
      <w:bookmarkEnd w:id="43"/>
    </w:p>
    <w:p w14:paraId="5778164C">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社会效益（25分）主要从交通事故死亡率的降低情况（5分）、交通死亡人数的下降比率（5分）、交通肇事逃逸案件侦破情况（5分）、交通事故处置平均时间的下降情况（5分）、关于促进群众出行项目的建设情况（5分）五个三级指标进行评价。</w:t>
      </w:r>
    </w:p>
    <w:p w14:paraId="5329E346">
      <w:pPr>
        <w:spacing w:after="0" w:line="408" w:lineRule="auto"/>
        <w:ind w:firstLine="560" w:firstLineChars="200"/>
        <w:jc w:val="both"/>
        <w:outlineLvl w:val="3"/>
        <w:rPr>
          <w:rFonts w:hint="eastAsia" w:ascii="仿宋" w:hAnsi="仿宋" w:eastAsia="仿宋"/>
          <w:sz w:val="28"/>
          <w:szCs w:val="21"/>
        </w:rPr>
      </w:pPr>
      <w:r>
        <w:rPr>
          <w:rFonts w:hint="eastAsia" w:ascii="仿宋" w:hAnsi="仿宋" w:eastAsia="仿宋"/>
          <w:sz w:val="28"/>
          <w:szCs w:val="21"/>
        </w:rPr>
        <w:t>（1）交通事故死亡率的降低情况（5分）</w:t>
      </w:r>
    </w:p>
    <w:p w14:paraId="7A1B8DD5">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“交通事故死亡率的降低情况”指标用于评价交通事故死亡率相比于上年度是否有所降低。交通事故死亡率=本年度发生的交通事故/在交通事故中死亡的人数*100%。</w:t>
      </w:r>
    </w:p>
    <w:p w14:paraId="54642329">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经过评价小组审查，根据</w:t>
      </w:r>
      <w:bookmarkStart w:id="44" w:name="_Hlk181625455"/>
      <w:r>
        <w:rPr>
          <w:rFonts w:hint="eastAsia" w:ascii="仿宋" w:hAnsi="仿宋" w:eastAsia="仿宋"/>
          <w:sz w:val="28"/>
          <w:szCs w:val="21"/>
        </w:rPr>
        <w:t>泉州市公安局交通警察支队洛江大队</w:t>
      </w:r>
      <w:bookmarkEnd w:id="44"/>
      <w:r>
        <w:rPr>
          <w:rFonts w:hint="eastAsia" w:ascii="仿宋" w:hAnsi="仿宋" w:eastAsia="仿宋"/>
          <w:sz w:val="28"/>
          <w:szCs w:val="21"/>
        </w:rPr>
        <w:t>所提供资料中所示，2023年度在洛江区道路交通安全专项资金项目中2022年交通事故25起，死亡人数13人，交通事故死亡率为52%。2023年交通事故30起，死亡人数13人，交通事故死亡率为43.33%，2023年交通事故死亡率相比于2022年有所降低。根据评分标准，此项得5分。</w:t>
      </w:r>
    </w:p>
    <w:p w14:paraId="749B28A5">
      <w:pPr>
        <w:spacing w:after="0" w:line="408" w:lineRule="auto"/>
        <w:ind w:firstLine="560" w:firstLineChars="200"/>
        <w:jc w:val="both"/>
        <w:outlineLvl w:val="3"/>
        <w:rPr>
          <w:rFonts w:hint="eastAsia" w:ascii="仿宋" w:hAnsi="仿宋" w:eastAsia="仿宋"/>
          <w:sz w:val="28"/>
          <w:szCs w:val="21"/>
        </w:rPr>
      </w:pPr>
      <w:r>
        <w:rPr>
          <w:rFonts w:hint="eastAsia" w:ascii="仿宋" w:hAnsi="仿宋" w:eastAsia="仿宋"/>
          <w:sz w:val="28"/>
          <w:szCs w:val="21"/>
        </w:rPr>
        <w:t>（2）交通死亡人数的下降比率（5分）</w:t>
      </w:r>
    </w:p>
    <w:p w14:paraId="77014DE8">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“交通死亡人数的下降比率”指标用于评价2023年度交通事故的死亡人数相比于上年度是否有所降低。</w:t>
      </w:r>
    </w:p>
    <w:p w14:paraId="29532AC6">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经过评价小组审查，根据泉州市公安局交通警察支队洛江大队所提供资料中所示，2023年度在洛江区道路交通安全专项资金项目中2022年交通事故死亡人数13人。2023年交通事故死亡人数13人。2023年交通事故死亡人数与上年度持平。根据评分标准，此项扣1分，得4分。</w:t>
      </w:r>
    </w:p>
    <w:p w14:paraId="197FC22F">
      <w:pPr>
        <w:spacing w:after="0" w:line="408" w:lineRule="auto"/>
        <w:ind w:firstLine="560" w:firstLineChars="200"/>
        <w:jc w:val="both"/>
        <w:outlineLvl w:val="3"/>
        <w:rPr>
          <w:rFonts w:hint="eastAsia" w:ascii="仿宋" w:hAnsi="仿宋" w:eastAsia="仿宋"/>
          <w:sz w:val="28"/>
          <w:szCs w:val="21"/>
        </w:rPr>
      </w:pPr>
      <w:r>
        <w:rPr>
          <w:rFonts w:hint="eastAsia" w:ascii="仿宋" w:hAnsi="仿宋" w:eastAsia="仿宋"/>
          <w:sz w:val="28"/>
          <w:szCs w:val="21"/>
        </w:rPr>
        <w:t>（3）交通肇事逃逸案件侦破情况（5分）</w:t>
      </w:r>
    </w:p>
    <w:p w14:paraId="02195C6F">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“交通肇事逃逸案件侦破情况”指标用于评价2023年度交通肇事逃逸案件的侦破率，相比上年度侦破率是否有所提高。</w:t>
      </w:r>
    </w:p>
    <w:p w14:paraId="1229D72A">
      <w:pPr>
        <w:spacing w:after="0" w:line="408" w:lineRule="auto"/>
        <w:ind w:firstLine="560" w:firstLineChars="200"/>
        <w:jc w:val="both"/>
        <w:rPr>
          <w:rFonts w:hint="eastAsia" w:ascii="仿宋" w:hAnsi="仿宋" w:eastAsia="仿宋"/>
          <w:sz w:val="28"/>
          <w:szCs w:val="21"/>
          <w:highlight w:val="yellow"/>
        </w:rPr>
      </w:pPr>
      <w:r>
        <w:rPr>
          <w:rFonts w:hint="eastAsia" w:ascii="仿宋" w:hAnsi="仿宋" w:eastAsia="仿宋"/>
          <w:sz w:val="28"/>
          <w:szCs w:val="21"/>
        </w:rPr>
        <w:t>经过评价小组审查，根据泉州市公安局交通警察支队洛江大队所提供资料中所示，2023年度在洛江区道路交通安全专项资金项目中2022年和2023年的“交通肇事逃逸案件侦破率”均100%。2023年交通肇事逃逸案件侦破率与上年度持平。根据评分标准，此项得5分。</w:t>
      </w:r>
    </w:p>
    <w:p w14:paraId="71702177">
      <w:pPr>
        <w:spacing w:after="0" w:line="408" w:lineRule="auto"/>
        <w:ind w:firstLine="560" w:firstLineChars="200"/>
        <w:jc w:val="both"/>
        <w:outlineLvl w:val="3"/>
        <w:rPr>
          <w:rFonts w:hint="eastAsia" w:ascii="仿宋" w:hAnsi="仿宋" w:eastAsia="仿宋"/>
          <w:sz w:val="28"/>
          <w:szCs w:val="21"/>
        </w:rPr>
      </w:pPr>
      <w:r>
        <w:rPr>
          <w:rFonts w:hint="eastAsia" w:ascii="仿宋" w:hAnsi="仿宋" w:eastAsia="仿宋"/>
          <w:sz w:val="28"/>
          <w:szCs w:val="21"/>
        </w:rPr>
        <w:t>（4）交通事故处置平均时间的下降情况（5分）</w:t>
      </w:r>
    </w:p>
    <w:p w14:paraId="088EC5C2">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“交通事故处置平均时间的下降情况”指标用于评价交通事故处置的平均时间和上年相比的下降百分比。下降率=（上年平均处置时间-本年平均处置时间）/上年平均处置时间*100%。</w:t>
      </w:r>
    </w:p>
    <w:p w14:paraId="7C378248">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经过评价小组审查，根据泉州市公安局交通警察支队洛江大队所提供资料中所示，2023年度在洛江区道路交通安全专项资金项目中2022年的“交通事故处置平均时间”为35分钟，2023年的“交通事故处置平均时间”为33分钟。2023年交通事故处置平均时间与上年度相比有所下降。根据评分标准，此项得5分。</w:t>
      </w:r>
    </w:p>
    <w:p w14:paraId="3409C19B">
      <w:pPr>
        <w:spacing w:after="0" w:line="408" w:lineRule="auto"/>
        <w:ind w:firstLine="560" w:firstLineChars="200"/>
        <w:jc w:val="both"/>
        <w:outlineLvl w:val="3"/>
        <w:rPr>
          <w:rFonts w:hint="eastAsia" w:ascii="仿宋" w:hAnsi="仿宋" w:eastAsia="仿宋"/>
          <w:sz w:val="28"/>
          <w:szCs w:val="21"/>
        </w:rPr>
      </w:pPr>
      <w:r>
        <w:rPr>
          <w:rFonts w:hint="eastAsia" w:ascii="仿宋" w:hAnsi="仿宋" w:eastAsia="仿宋"/>
          <w:sz w:val="28"/>
          <w:szCs w:val="21"/>
        </w:rPr>
        <w:t>（5）关于促进群众出行项目的建设情况（5分）</w:t>
      </w:r>
    </w:p>
    <w:p w14:paraId="75551A5E">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“关于促进群众出行项目的建设情况”指标用于评价在为民办实事项目当中做了多少个便利于群众出行的项目。</w:t>
      </w:r>
    </w:p>
    <w:p w14:paraId="5CE177CA">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经过评价小组审查，根据泉州市公安局交通警察支队洛江大队所提供资料中所示，</w:t>
      </w:r>
      <w:bookmarkStart w:id="45" w:name="_Hlk181624261"/>
      <w:r>
        <w:rPr>
          <w:rFonts w:hint="eastAsia" w:ascii="仿宋" w:hAnsi="仿宋" w:eastAsia="仿宋"/>
          <w:sz w:val="28"/>
          <w:szCs w:val="21"/>
        </w:rPr>
        <w:t>2023年度在洛江区道路交通安全专项资金项目中开展了洛江部分隐患路段整治项目，部分信号灯路口分道牌监控牌整改工程项目，部分学校周边路段视频监控项目，电子警察项目，交通标志标线项目，共计5个项目</w:t>
      </w:r>
      <w:bookmarkEnd w:id="45"/>
      <w:r>
        <w:rPr>
          <w:rFonts w:hint="eastAsia" w:ascii="仿宋" w:hAnsi="仿宋" w:eastAsia="仿宋"/>
          <w:sz w:val="28"/>
          <w:szCs w:val="21"/>
        </w:rPr>
        <w:t>。根据评分标准，此项得5分。</w:t>
      </w:r>
    </w:p>
    <w:p w14:paraId="07ECA5E4">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因此，社会效益合计得24分。</w:t>
      </w:r>
    </w:p>
    <w:p w14:paraId="01B4DFC9">
      <w:pPr>
        <w:spacing w:after="0" w:line="408" w:lineRule="auto"/>
        <w:ind w:firstLine="560" w:firstLineChars="200"/>
        <w:jc w:val="both"/>
        <w:outlineLvl w:val="2"/>
        <w:rPr>
          <w:rFonts w:hint="eastAsia" w:ascii="仿宋" w:hAnsi="仿宋" w:eastAsia="仿宋"/>
          <w:sz w:val="28"/>
          <w:szCs w:val="21"/>
        </w:rPr>
      </w:pPr>
      <w:bookmarkStart w:id="46" w:name="_Toc182865227"/>
      <w:r>
        <w:rPr>
          <w:rFonts w:hint="eastAsia" w:ascii="仿宋" w:hAnsi="仿宋" w:eastAsia="仿宋"/>
          <w:sz w:val="28"/>
          <w:szCs w:val="21"/>
        </w:rPr>
        <w:t>2.经济效益（5分）</w:t>
      </w:r>
      <w:bookmarkEnd w:id="46"/>
    </w:p>
    <w:p w14:paraId="0D145F10">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经济效益（5分）主要从道路交通事故财产损失的下降比率（5分）一个三级指标进行评价。</w:t>
      </w:r>
    </w:p>
    <w:p w14:paraId="27568C3D">
      <w:pPr>
        <w:spacing w:after="0" w:line="408" w:lineRule="auto"/>
        <w:ind w:firstLine="560" w:firstLineChars="200"/>
        <w:jc w:val="both"/>
        <w:outlineLvl w:val="3"/>
        <w:rPr>
          <w:rFonts w:hint="eastAsia" w:ascii="仿宋" w:hAnsi="仿宋" w:eastAsia="仿宋"/>
          <w:sz w:val="28"/>
          <w:szCs w:val="21"/>
        </w:rPr>
      </w:pPr>
      <w:r>
        <w:rPr>
          <w:rFonts w:hint="eastAsia" w:ascii="仿宋" w:hAnsi="仿宋" w:eastAsia="仿宋"/>
          <w:sz w:val="28"/>
          <w:szCs w:val="21"/>
        </w:rPr>
        <w:t>（1）道路交通事故财产损失的下降比率（5分）</w:t>
      </w:r>
    </w:p>
    <w:p w14:paraId="7E0E5615">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道路交通事故财产损失的下降比率”指标用于评价本年度道路交通事故财产损失的金额量相比于上年度道路交通事故财产损失的金额量的下降率。下降率=（上年度道路交通财产损失金额量-本年度道路交通财产损失金额量）/上年度道路交通财产损失金额量*100%。</w:t>
      </w:r>
    </w:p>
    <w:p w14:paraId="09F6C355">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经过评价小组审查，根据泉州市公安局交通警察支队洛江大队所提供资料中所示，2023年度在洛江区道路交通安全专项资金项目中2022年的“道路交通事故财产损失”的金额为11550元，2023年“道路交通事故财产损失”的金额为9500元。道路交通事故财产损失的下降比率为17.75%。根据评分标准，此项得5分。</w:t>
      </w:r>
    </w:p>
    <w:p w14:paraId="63ECB21C">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因此，经济效益合计得5分。</w:t>
      </w:r>
    </w:p>
    <w:p w14:paraId="34CCE03F">
      <w:pPr>
        <w:spacing w:after="0" w:line="408" w:lineRule="auto"/>
        <w:ind w:firstLine="560" w:firstLineChars="200"/>
        <w:jc w:val="both"/>
        <w:outlineLvl w:val="2"/>
        <w:rPr>
          <w:rFonts w:hint="eastAsia" w:ascii="仿宋" w:hAnsi="仿宋" w:eastAsia="仿宋"/>
          <w:sz w:val="28"/>
          <w:szCs w:val="21"/>
        </w:rPr>
      </w:pPr>
      <w:bookmarkStart w:id="47" w:name="_Toc182865228"/>
      <w:r>
        <w:rPr>
          <w:rFonts w:hint="eastAsia" w:ascii="仿宋" w:hAnsi="仿宋" w:eastAsia="仿宋"/>
          <w:sz w:val="28"/>
          <w:szCs w:val="21"/>
        </w:rPr>
        <w:t>3.满意度指标（4分）</w:t>
      </w:r>
      <w:bookmarkEnd w:id="47"/>
    </w:p>
    <w:p w14:paraId="52D631E8">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满意度指标（4分）主要从群众对道路整改情况的满意度情况（4分）一个三级指标进行评价。</w:t>
      </w:r>
    </w:p>
    <w:p w14:paraId="64B6C5FC">
      <w:pPr>
        <w:spacing w:after="0" w:line="408" w:lineRule="auto"/>
        <w:ind w:firstLine="560" w:firstLineChars="200"/>
        <w:jc w:val="both"/>
        <w:outlineLvl w:val="3"/>
        <w:rPr>
          <w:rFonts w:hint="eastAsia" w:ascii="仿宋" w:hAnsi="仿宋" w:eastAsia="仿宋"/>
          <w:sz w:val="28"/>
          <w:szCs w:val="21"/>
        </w:rPr>
      </w:pPr>
      <w:r>
        <w:rPr>
          <w:rFonts w:hint="eastAsia" w:ascii="仿宋" w:hAnsi="仿宋" w:eastAsia="仿宋"/>
          <w:sz w:val="28"/>
          <w:szCs w:val="21"/>
        </w:rPr>
        <w:t>（1）群众对道路整改情况的满意度情况（4分）</w:t>
      </w:r>
    </w:p>
    <w:p w14:paraId="01130914">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“群众对道路整改情况的满意度情况”指标用于评价群众对道路整改情况工作的满意情况，用以考虑交警大队的工作在是否得到群众认可与满意。</w:t>
      </w:r>
    </w:p>
    <w:p w14:paraId="682EB5A1">
      <w:pPr>
        <w:spacing w:after="0" w:line="408" w:lineRule="auto"/>
        <w:ind w:firstLine="560" w:firstLineChars="200"/>
        <w:jc w:val="both"/>
        <w:rPr>
          <w:rFonts w:hint="eastAsia" w:ascii="仿宋" w:hAnsi="仿宋" w:eastAsia="仿宋"/>
          <w:sz w:val="28"/>
          <w:szCs w:val="21"/>
          <w:highlight w:val="yellow"/>
        </w:rPr>
      </w:pPr>
      <w:r>
        <w:rPr>
          <w:rFonts w:hint="eastAsia" w:ascii="仿宋" w:hAnsi="仿宋" w:eastAsia="仿宋"/>
          <w:sz w:val="28"/>
          <w:szCs w:val="21"/>
        </w:rPr>
        <w:t>经过评价小组审查，根据泉州市公安局交通警察支队洛江大队所提供资料中所示，2023年度在洛江区道路交通安全专项资金项目中群众投诉情况相比于2022年下降1.75%，评价小组通过发放55份问卷，其中52份表示对泉州市公安局交通警察支队洛江大队的道路安全整改工作感到满意。但在交通道路设施维护方面仍然会接收到群众的投诉。根据评分标准，此项扣1分，得3分。</w:t>
      </w:r>
    </w:p>
    <w:p w14:paraId="5EC6E1BB">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因此，满意度指标合计得3分。</w:t>
      </w:r>
    </w:p>
    <w:p w14:paraId="64FB9B77">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综上所述，项目效益共计34分，得32分。</w:t>
      </w:r>
    </w:p>
    <w:p w14:paraId="289AB719">
      <w:pPr>
        <w:spacing w:after="0" w:line="408" w:lineRule="auto"/>
        <w:ind w:firstLine="562" w:firstLineChars="200"/>
        <w:jc w:val="both"/>
        <w:outlineLvl w:val="1"/>
        <w:rPr>
          <w:rFonts w:hint="eastAsia" w:ascii="仿宋" w:hAnsi="仿宋" w:eastAsia="仿宋"/>
          <w:b/>
          <w:sz w:val="28"/>
          <w:szCs w:val="21"/>
        </w:rPr>
      </w:pPr>
      <w:bookmarkStart w:id="48" w:name="_Toc182865229"/>
      <w:r>
        <w:rPr>
          <w:rFonts w:hint="eastAsia" w:ascii="仿宋" w:hAnsi="仿宋" w:eastAsia="仿宋"/>
          <w:b/>
          <w:sz w:val="28"/>
          <w:szCs w:val="21"/>
        </w:rPr>
        <w:t>（五）主要成效</w:t>
      </w:r>
      <w:bookmarkEnd w:id="48"/>
    </w:p>
    <w:p w14:paraId="09426315">
      <w:pPr>
        <w:spacing w:after="0" w:line="408" w:lineRule="auto"/>
        <w:ind w:firstLine="560" w:firstLineChars="200"/>
        <w:jc w:val="both"/>
        <w:rPr>
          <w:rFonts w:hint="eastAsia" w:ascii="仿宋" w:hAnsi="仿宋" w:eastAsia="仿宋"/>
          <w:sz w:val="28"/>
          <w:szCs w:val="21"/>
          <w:highlight w:val="yellow"/>
        </w:rPr>
      </w:pPr>
      <w:r>
        <w:rPr>
          <w:rFonts w:ascii="仿宋" w:hAnsi="仿宋" w:eastAsia="仿宋"/>
          <w:sz w:val="28"/>
          <w:szCs w:val="21"/>
        </w:rPr>
        <w:t>2023</w:t>
      </w:r>
      <w:r>
        <w:rPr>
          <w:rFonts w:hint="eastAsia" w:ascii="仿宋" w:hAnsi="仿宋" w:eastAsia="仿宋"/>
          <w:sz w:val="28"/>
          <w:szCs w:val="21"/>
        </w:rPr>
        <w:t>年度</w:t>
      </w:r>
      <w:r>
        <w:rPr>
          <w:rFonts w:ascii="仿宋" w:hAnsi="仿宋" w:eastAsia="仿宋"/>
          <w:sz w:val="28"/>
          <w:szCs w:val="21"/>
        </w:rPr>
        <w:t>洛江区道路交通安全专项资金</w:t>
      </w:r>
      <w:r>
        <w:rPr>
          <w:rFonts w:hint="eastAsia" w:ascii="仿宋" w:hAnsi="仿宋" w:eastAsia="仿宋"/>
          <w:sz w:val="28"/>
          <w:szCs w:val="21"/>
        </w:rPr>
        <w:t>取得的主要成效表现在：泉州市公安局交通警察支队洛江大队2023年度在洛江区道路交通安全专项资金项目中开展了洛江部分隐患路段整治项目，部分信号灯路口分道牌监控牌整改工程项目，部分学校周边路段视频监控项目，电子警察项目，交通标志标线项目，共计5个项目，5个项目均已验收合格。</w:t>
      </w:r>
    </w:p>
    <w:p w14:paraId="362231F1">
      <w:pPr>
        <w:spacing w:after="0" w:line="408" w:lineRule="auto"/>
        <w:ind w:firstLine="562" w:firstLineChars="200"/>
        <w:jc w:val="both"/>
        <w:outlineLvl w:val="1"/>
        <w:rPr>
          <w:rFonts w:hint="eastAsia" w:ascii="仿宋" w:hAnsi="仿宋" w:eastAsia="仿宋"/>
          <w:b/>
          <w:sz w:val="28"/>
          <w:szCs w:val="21"/>
        </w:rPr>
      </w:pPr>
      <w:bookmarkStart w:id="49" w:name="_Toc182865230"/>
      <w:r>
        <w:rPr>
          <w:rFonts w:hint="eastAsia" w:ascii="仿宋" w:hAnsi="仿宋" w:eastAsia="仿宋"/>
          <w:b/>
          <w:sz w:val="28"/>
          <w:szCs w:val="21"/>
        </w:rPr>
        <w:t>（六）绩效评价结论</w:t>
      </w:r>
      <w:bookmarkEnd w:id="49"/>
    </w:p>
    <w:p w14:paraId="79CB635A">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2023年洛江区道路交通安全专项资金绩效评价报告得分82分，评价等级为“良”。主要扣分项目为：绩效目标合理性（3分）扣1分，绩效自评合规性（3分）扣3分，预算执行率（4分）扣3分，合同规范性（4分）扣2分，履行合同义务的规范性（4分）扣3分，对项目实施情况的了解程度（2分）扣1分，项目验收的规范性（4分）扣2分，对交通设施的维护情况（2分）扣1分，交通死亡人数的下降比率（5分）扣1分，群众对道路整改情况的满意度情况（4分）扣1分。合计共扣18分，最终得分82分。</w:t>
      </w:r>
    </w:p>
    <w:p w14:paraId="558B0044">
      <w:pPr>
        <w:spacing w:after="0" w:line="408" w:lineRule="auto"/>
        <w:ind w:firstLine="562" w:firstLineChars="200"/>
        <w:outlineLvl w:val="0"/>
        <w:rPr>
          <w:rFonts w:hint="eastAsia" w:ascii="仿宋" w:hAnsi="仿宋" w:eastAsia="仿宋"/>
          <w:b/>
          <w:sz w:val="28"/>
          <w:szCs w:val="21"/>
        </w:rPr>
      </w:pPr>
      <w:bookmarkStart w:id="50" w:name="_Toc182865231"/>
      <w:r>
        <w:rPr>
          <w:rFonts w:hint="eastAsia" w:ascii="仿宋" w:hAnsi="仿宋" w:eastAsia="仿宋"/>
          <w:b/>
          <w:sz w:val="28"/>
          <w:szCs w:val="21"/>
        </w:rPr>
        <w:t>五、存在的问题</w:t>
      </w:r>
      <w:bookmarkEnd w:id="50"/>
    </w:p>
    <w:p w14:paraId="697F17A3">
      <w:pPr>
        <w:spacing w:after="0" w:line="408" w:lineRule="auto"/>
        <w:ind w:firstLine="562" w:firstLineChars="200"/>
        <w:jc w:val="both"/>
        <w:outlineLvl w:val="1"/>
        <w:rPr>
          <w:rFonts w:hint="eastAsia" w:ascii="仿宋" w:hAnsi="仿宋" w:eastAsia="仿宋"/>
          <w:b/>
          <w:sz w:val="28"/>
          <w:szCs w:val="21"/>
        </w:rPr>
      </w:pPr>
      <w:bookmarkStart w:id="51" w:name="_Toc182865232"/>
      <w:r>
        <w:rPr>
          <w:rFonts w:hint="eastAsia" w:ascii="仿宋" w:hAnsi="仿宋" w:eastAsia="仿宋"/>
          <w:b/>
          <w:sz w:val="28"/>
          <w:szCs w:val="21"/>
        </w:rPr>
        <w:t>（一）绩效目标不合理，自评工作不到位</w:t>
      </w:r>
      <w:bookmarkEnd w:id="51"/>
    </w:p>
    <w:p w14:paraId="273FD984">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1.绩效目标设置不合理</w:t>
      </w:r>
    </w:p>
    <w:p w14:paraId="5EFE63E8">
      <w:pPr>
        <w:spacing w:after="0" w:line="408" w:lineRule="auto"/>
        <w:ind w:firstLine="560" w:firstLineChars="200"/>
        <w:jc w:val="both"/>
        <w:rPr>
          <w:rFonts w:hint="eastAsia" w:ascii="仿宋" w:hAnsi="仿宋" w:eastAsia="仿宋"/>
          <w:sz w:val="28"/>
          <w:szCs w:val="21"/>
          <w:highlight w:val="yellow"/>
        </w:rPr>
      </w:pPr>
      <w:r>
        <w:rPr>
          <w:rFonts w:hint="eastAsia" w:ascii="仿宋" w:hAnsi="仿宋" w:eastAsia="仿宋"/>
          <w:sz w:val="28"/>
          <w:szCs w:val="21"/>
        </w:rPr>
        <w:t>经过评价小组审查，泉州市公安局交通警察支队洛江大队绩效目标设置存在不合理之处。例如在“绩效目标表”当中的“八类重点车辆检验率”指标与道路安全隐患整治项目并不相关。故绩效目标设置不合理。</w:t>
      </w:r>
    </w:p>
    <w:p w14:paraId="2836C772">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2.自评工作不到位</w:t>
      </w:r>
    </w:p>
    <w:p w14:paraId="630E10F7">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经过评价小组审查，泉州市公安局交通警察支队洛江大队在洛江区道路交通安全专项资金项目中的绩效自评存在不足。在泉州市公安局交通警察支队洛江大队报送的绩效自评表与绩效自评报告中，自评分数均为0分，未在绩效管理一体化系统中正确填写绩效自评分数，自评工作不到位，绩效自评不合规。如图所示：</w:t>
      </w:r>
    </w:p>
    <w:p w14:paraId="44192C17">
      <w:pPr>
        <w:spacing w:after="0" w:line="408" w:lineRule="auto"/>
        <w:ind w:firstLine="440" w:firstLineChars="200"/>
        <w:jc w:val="both"/>
        <w:rPr>
          <w:rFonts w:hint="eastAsia" w:ascii="仿宋" w:hAnsi="仿宋" w:eastAsia="仿宋"/>
          <w:sz w:val="28"/>
          <w:szCs w:val="21"/>
          <w:highlight w:val="yellow"/>
        </w:rPr>
      </w:pPr>
      <w:r>
        <w:rPr>
          <w14:ligatures w14:val="none"/>
        </w:rPr>
        <w:drawing>
          <wp:inline distT="0" distB="0" distL="0" distR="0">
            <wp:extent cx="5639435" cy="2536825"/>
            <wp:effectExtent l="0" t="0" r="0" b="0"/>
            <wp:docPr id="6285223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522376" name="图片 1"/>
                    <pic:cNvPicPr>
                      <a:picLocks noChangeAspect="1"/>
                    </pic:cNvPicPr>
                  </pic:nvPicPr>
                  <pic:blipFill>
                    <a:blip r:embed="rId8"/>
                    <a:stretch>
                      <a:fillRect/>
                    </a:stretch>
                  </pic:blipFill>
                  <pic:spPr>
                    <a:xfrm>
                      <a:off x="0" y="0"/>
                      <a:ext cx="5648294" cy="2541048"/>
                    </a:xfrm>
                    <a:prstGeom prst="rect">
                      <a:avLst/>
                    </a:prstGeom>
                  </pic:spPr>
                </pic:pic>
              </a:graphicData>
            </a:graphic>
          </wp:inline>
        </w:drawing>
      </w:r>
    </w:p>
    <w:p w14:paraId="3E4223EC">
      <w:pPr>
        <w:spacing w:after="0" w:line="408" w:lineRule="auto"/>
        <w:ind w:firstLine="440" w:firstLineChars="200"/>
        <w:jc w:val="both"/>
        <w:rPr>
          <w:rFonts w:hint="eastAsia" w:ascii="仿宋" w:hAnsi="仿宋" w:eastAsia="仿宋"/>
          <w:sz w:val="28"/>
          <w:szCs w:val="21"/>
          <w:highlight w:val="yellow"/>
        </w:rPr>
      </w:pPr>
      <w:r>
        <w:rPr>
          <w14:ligatures w14:val="none"/>
        </w:rPr>
        <w:drawing>
          <wp:inline distT="0" distB="0" distL="0" distR="0">
            <wp:extent cx="6120130" cy="1638300"/>
            <wp:effectExtent l="0" t="0" r="13970" b="0"/>
            <wp:docPr id="19395873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587374" name="图片 1"/>
                    <pic:cNvPicPr>
                      <a:picLocks noChangeAspect="1"/>
                    </pic:cNvPicPr>
                  </pic:nvPicPr>
                  <pic:blipFill>
                    <a:blip r:embed="rId9"/>
                    <a:stretch>
                      <a:fillRect/>
                    </a:stretch>
                  </pic:blipFill>
                  <pic:spPr>
                    <a:xfrm>
                      <a:off x="0" y="0"/>
                      <a:ext cx="6134015" cy="1642237"/>
                    </a:xfrm>
                    <a:prstGeom prst="rect">
                      <a:avLst/>
                    </a:prstGeom>
                  </pic:spPr>
                </pic:pic>
              </a:graphicData>
            </a:graphic>
          </wp:inline>
        </w:drawing>
      </w:r>
    </w:p>
    <w:p w14:paraId="00895C19">
      <w:pPr>
        <w:spacing w:after="0" w:line="408" w:lineRule="auto"/>
        <w:ind w:firstLine="562" w:firstLineChars="200"/>
        <w:jc w:val="both"/>
        <w:outlineLvl w:val="1"/>
        <w:rPr>
          <w:rFonts w:hint="eastAsia" w:ascii="仿宋" w:hAnsi="仿宋" w:eastAsia="仿宋"/>
          <w:b/>
          <w:sz w:val="28"/>
          <w:szCs w:val="21"/>
        </w:rPr>
      </w:pPr>
      <w:bookmarkStart w:id="52" w:name="_Toc182865233"/>
      <w:r>
        <w:rPr>
          <w:rFonts w:hint="eastAsia" w:ascii="仿宋" w:hAnsi="仿宋" w:eastAsia="仿宋"/>
          <w:b/>
          <w:sz w:val="28"/>
          <w:szCs w:val="21"/>
        </w:rPr>
        <w:t>（二）合同签订不规范，合同履约不规范</w:t>
      </w:r>
      <w:bookmarkEnd w:id="52"/>
    </w:p>
    <w:p w14:paraId="74742276">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1.合同签订不规范</w:t>
      </w:r>
    </w:p>
    <w:p w14:paraId="25AD6ADC">
      <w:pPr>
        <w:spacing w:after="0" w:line="408" w:lineRule="auto"/>
        <w:ind w:firstLine="560" w:firstLineChars="200"/>
        <w:jc w:val="both"/>
        <w:rPr>
          <w:rFonts w:hint="eastAsia" w:ascii="仿宋" w:hAnsi="仿宋" w:eastAsia="仿宋"/>
          <w:sz w:val="28"/>
          <w:szCs w:val="21"/>
          <w:highlight w:val="yellow"/>
        </w:rPr>
      </w:pPr>
      <w:r>
        <w:rPr>
          <w:rFonts w:hint="eastAsia" w:ascii="仿宋" w:hAnsi="仿宋" w:eastAsia="仿宋"/>
          <w:sz w:val="28"/>
          <w:szCs w:val="21"/>
        </w:rPr>
        <w:t>经过评价小组审查，泉州市公安局交通警察支队洛江大队在洛江区道路交通安全专项资金项目中部分合同的签订存在不规范之处。在与福建忠安建设发展有限公司签订的零星交通设施工程施工合同中乙方福建忠安建设发展有限公司并未签字或盖法人章。在与泉州市扬帆交通设施有限公司签订的洛江区部分学校周边路段视频监控施工合同中未明确合同的签订日期及施工日期。合同规范性存在不足。</w:t>
      </w:r>
    </w:p>
    <w:p w14:paraId="0BFC5A5C">
      <w:pPr>
        <w:spacing w:after="0" w:line="408" w:lineRule="auto"/>
        <w:jc w:val="both"/>
        <w:rPr>
          <w:rFonts w:hint="eastAsia" w:ascii="仿宋" w:hAnsi="仿宋" w:eastAsia="仿宋"/>
          <w:sz w:val="28"/>
          <w:szCs w:val="21"/>
          <w:highlight w:val="yellow"/>
        </w:rPr>
      </w:pPr>
      <w:r>
        <w:rPr>
          <w14:ligatures w14:val="none"/>
        </w:rPr>
        <w:drawing>
          <wp:inline distT="0" distB="0" distL="0" distR="0">
            <wp:extent cx="6326505" cy="2573655"/>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6344627" cy="2581435"/>
                    </a:xfrm>
                    <a:prstGeom prst="rect">
                      <a:avLst/>
                    </a:prstGeom>
                    <a:noFill/>
                    <a:ln w="9525">
                      <a:noFill/>
                    </a:ln>
                  </pic:spPr>
                </pic:pic>
              </a:graphicData>
            </a:graphic>
          </wp:inline>
        </w:drawing>
      </w:r>
    </w:p>
    <w:p w14:paraId="41CD8814">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2.合同履约不规范</w:t>
      </w:r>
    </w:p>
    <w:p w14:paraId="2871CA43">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经过评价小组审查，泉州市公安局交通警察支队洛江大队在洛江区道路交通安全专项资金项目中部分合同的履约存在不规范之处。在与福建省冠乔建设管理有限公司签订的招标代理费中，合同约定金额为3489元，发票及付款申请单金额均为3489元，但实际泉州市公安局交通警察支队洛江大队仅付款2000元，且双方未签订补充合同，故在履行合同义务的规范性上存在不足。</w:t>
      </w:r>
    </w:p>
    <w:p w14:paraId="03EFAC02">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在泉州市公安局交通警察支队洛江大队与福建省冠乔建设管理有限公司签订的关于道路电子交通安全隐患整治招标代理费费中，合同约定金额为3985元，但是发票开具为3384元，付款也为3384元，且双方未签订补充合同，故在履行合同义务的规范性上存在不足。</w:t>
      </w:r>
    </w:p>
    <w:p w14:paraId="3C13E17B">
      <w:pPr>
        <w:spacing w:after="0" w:line="408" w:lineRule="auto"/>
        <w:ind w:firstLine="440" w:firstLineChars="200"/>
        <w:jc w:val="both"/>
        <w:rPr>
          <w:rFonts w:hint="eastAsia" w:ascii="仿宋" w:hAnsi="仿宋" w:eastAsia="仿宋"/>
          <w:sz w:val="28"/>
          <w:szCs w:val="21"/>
        </w:rPr>
      </w:pPr>
      <w:r>
        <w:rPr>
          <w14:ligatures w14:val="none"/>
        </w:rPr>
        <w:drawing>
          <wp:inline distT="0" distB="0" distL="0" distR="0">
            <wp:extent cx="5766435" cy="1915795"/>
            <wp:effectExtent l="0" t="0" r="5715" b="825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1"/>
                    <a:stretch>
                      <a:fillRect/>
                    </a:stretch>
                  </pic:blipFill>
                  <pic:spPr>
                    <a:xfrm>
                      <a:off x="0" y="0"/>
                      <a:ext cx="5780043" cy="1920592"/>
                    </a:xfrm>
                    <a:prstGeom prst="rect">
                      <a:avLst/>
                    </a:prstGeom>
                    <a:noFill/>
                    <a:ln w="9525">
                      <a:noFill/>
                    </a:ln>
                  </pic:spPr>
                </pic:pic>
              </a:graphicData>
            </a:graphic>
          </wp:inline>
        </w:drawing>
      </w:r>
    </w:p>
    <w:p w14:paraId="2BA3F4E5">
      <w:pPr>
        <w:spacing w:after="0" w:line="408" w:lineRule="auto"/>
        <w:ind w:firstLine="440" w:firstLineChars="200"/>
        <w:jc w:val="both"/>
        <w:rPr>
          <w:rFonts w:hint="eastAsia" w:ascii="仿宋" w:hAnsi="仿宋" w:eastAsia="仿宋"/>
          <w:sz w:val="28"/>
          <w:szCs w:val="21"/>
        </w:rPr>
      </w:pPr>
      <w:r>
        <w:rPr>
          <w14:ligatures w14:val="none"/>
        </w:rPr>
        <w:drawing>
          <wp:inline distT="0" distB="0" distL="0" distR="0">
            <wp:extent cx="5634355" cy="1835785"/>
            <wp:effectExtent l="0" t="0" r="4445" b="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2"/>
                    <a:stretch>
                      <a:fillRect/>
                    </a:stretch>
                  </pic:blipFill>
                  <pic:spPr>
                    <a:xfrm>
                      <a:off x="0" y="0"/>
                      <a:ext cx="5635798" cy="1836242"/>
                    </a:xfrm>
                    <a:prstGeom prst="rect">
                      <a:avLst/>
                    </a:prstGeom>
                    <a:noFill/>
                    <a:ln w="9525">
                      <a:noFill/>
                    </a:ln>
                  </pic:spPr>
                </pic:pic>
              </a:graphicData>
            </a:graphic>
          </wp:inline>
        </w:drawing>
      </w:r>
    </w:p>
    <w:p w14:paraId="3169E355">
      <w:pPr>
        <w:spacing w:after="0" w:line="408" w:lineRule="auto"/>
        <w:ind w:firstLine="440" w:firstLineChars="200"/>
        <w:jc w:val="both"/>
        <w:rPr>
          <w:rFonts w:hint="eastAsia" w:ascii="仿宋" w:hAnsi="仿宋" w:eastAsia="仿宋"/>
          <w:sz w:val="28"/>
          <w:szCs w:val="21"/>
          <w:highlight w:val="yellow"/>
        </w:rPr>
      </w:pPr>
      <w:r>
        <w:rPr>
          <w14:ligatures w14:val="none"/>
        </w:rPr>
        <w:drawing>
          <wp:inline distT="0" distB="0" distL="0" distR="0">
            <wp:extent cx="5939155" cy="1071880"/>
            <wp:effectExtent l="0" t="0" r="4445"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3"/>
                    <a:stretch>
                      <a:fillRect/>
                    </a:stretch>
                  </pic:blipFill>
                  <pic:spPr>
                    <a:xfrm>
                      <a:off x="0" y="0"/>
                      <a:ext cx="5939155" cy="1071880"/>
                    </a:xfrm>
                    <a:prstGeom prst="rect">
                      <a:avLst/>
                    </a:prstGeom>
                    <a:noFill/>
                    <a:ln w="9525">
                      <a:noFill/>
                    </a:ln>
                  </pic:spPr>
                </pic:pic>
              </a:graphicData>
            </a:graphic>
          </wp:inline>
        </w:drawing>
      </w:r>
    </w:p>
    <w:p w14:paraId="4C806064">
      <w:pPr>
        <w:spacing w:after="0" w:line="408" w:lineRule="auto"/>
        <w:ind w:firstLine="440" w:firstLineChars="200"/>
        <w:jc w:val="both"/>
        <w:rPr>
          <w:rFonts w:hint="eastAsia" w:ascii="仿宋" w:hAnsi="仿宋" w:eastAsia="仿宋"/>
          <w:sz w:val="28"/>
          <w:szCs w:val="21"/>
          <w:highlight w:val="yellow"/>
        </w:rPr>
      </w:pPr>
      <w:r>
        <w:rPr>
          <w14:ligatures w14:val="none"/>
        </w:rPr>
        <w:drawing>
          <wp:inline distT="0" distB="0" distL="0" distR="0">
            <wp:extent cx="5634355" cy="1786890"/>
            <wp:effectExtent l="0" t="0" r="4445" b="381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4"/>
                    <a:stretch>
                      <a:fillRect/>
                    </a:stretch>
                  </pic:blipFill>
                  <pic:spPr>
                    <a:xfrm>
                      <a:off x="0" y="0"/>
                      <a:ext cx="5634355" cy="1786890"/>
                    </a:xfrm>
                    <a:prstGeom prst="rect">
                      <a:avLst/>
                    </a:prstGeom>
                    <a:noFill/>
                    <a:ln w="9525">
                      <a:noFill/>
                    </a:ln>
                  </pic:spPr>
                </pic:pic>
              </a:graphicData>
            </a:graphic>
          </wp:inline>
        </w:drawing>
      </w:r>
    </w:p>
    <w:p w14:paraId="0CA82C6B">
      <w:pPr>
        <w:spacing w:after="0" w:line="408" w:lineRule="auto"/>
        <w:ind w:firstLine="440" w:firstLineChars="200"/>
        <w:jc w:val="both"/>
        <w:rPr>
          <w:rFonts w:hint="eastAsia" w:ascii="仿宋" w:hAnsi="仿宋" w:eastAsia="仿宋"/>
          <w:sz w:val="28"/>
          <w:szCs w:val="21"/>
          <w:highlight w:val="yellow"/>
        </w:rPr>
      </w:pPr>
      <w:r>
        <w:rPr>
          <w14:ligatures w14:val="none"/>
        </w:rPr>
        <w:drawing>
          <wp:inline distT="0" distB="0" distL="0" distR="0">
            <wp:extent cx="5744210" cy="1638935"/>
            <wp:effectExtent l="0" t="0" r="889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5"/>
                    <a:stretch>
                      <a:fillRect/>
                    </a:stretch>
                  </pic:blipFill>
                  <pic:spPr>
                    <a:xfrm>
                      <a:off x="0" y="0"/>
                      <a:ext cx="5744210" cy="1638935"/>
                    </a:xfrm>
                    <a:prstGeom prst="rect">
                      <a:avLst/>
                    </a:prstGeom>
                    <a:noFill/>
                    <a:ln w="9525">
                      <a:noFill/>
                    </a:ln>
                  </pic:spPr>
                </pic:pic>
              </a:graphicData>
            </a:graphic>
          </wp:inline>
        </w:drawing>
      </w:r>
    </w:p>
    <w:p w14:paraId="71CA5865">
      <w:pPr>
        <w:spacing w:after="0" w:line="408" w:lineRule="auto"/>
        <w:ind w:firstLine="562" w:firstLineChars="200"/>
        <w:jc w:val="both"/>
        <w:outlineLvl w:val="1"/>
        <w:rPr>
          <w:rFonts w:hint="eastAsia" w:ascii="仿宋" w:hAnsi="仿宋" w:eastAsia="仿宋"/>
          <w:b/>
          <w:sz w:val="28"/>
          <w:szCs w:val="21"/>
          <w:highlight w:val="yellow"/>
        </w:rPr>
      </w:pPr>
      <w:bookmarkStart w:id="53" w:name="_Toc182865234"/>
      <w:r>
        <w:rPr>
          <w:rFonts w:hint="eastAsia" w:ascii="仿宋" w:hAnsi="仿宋" w:eastAsia="仿宋"/>
          <w:b/>
          <w:sz w:val="28"/>
          <w:szCs w:val="21"/>
        </w:rPr>
        <w:t>（三）项目验收存在不规范</w:t>
      </w:r>
      <w:bookmarkEnd w:id="53"/>
    </w:p>
    <w:p w14:paraId="6AF9AA6D">
      <w:pPr>
        <w:spacing w:after="0" w:line="408" w:lineRule="auto"/>
        <w:ind w:firstLine="560" w:firstLineChars="200"/>
        <w:jc w:val="both"/>
        <w:rPr>
          <w:rFonts w:hint="eastAsia" w:ascii="仿宋" w:hAnsi="仿宋" w:eastAsia="仿宋"/>
          <w:sz w:val="28"/>
          <w:szCs w:val="21"/>
          <w:highlight w:val="yellow"/>
        </w:rPr>
      </w:pPr>
      <w:r>
        <w:rPr>
          <w:rFonts w:hint="eastAsia" w:ascii="仿宋" w:hAnsi="仿宋" w:eastAsia="仿宋"/>
          <w:sz w:val="28"/>
          <w:szCs w:val="21"/>
        </w:rPr>
        <w:t>经过评价小组审查，泉州市公安局交通警察支队洛江大队在洛江区道路交通安全专项资金项目中有部分项目验收存在不管不规范之处。例如，在洛江区部分学校周边路段视频监控项目验收单中项目验收日期，施工日期，竣工日期均未填写，项目验收不规范。</w:t>
      </w:r>
    </w:p>
    <w:p w14:paraId="21708575">
      <w:pPr>
        <w:spacing w:after="0" w:line="408" w:lineRule="auto"/>
        <w:ind w:firstLine="440" w:firstLineChars="200"/>
        <w:jc w:val="both"/>
        <w:rPr>
          <w:rFonts w:hint="eastAsia" w:ascii="仿宋" w:hAnsi="仿宋" w:eastAsia="仿宋"/>
          <w:sz w:val="28"/>
          <w:szCs w:val="21"/>
          <w:highlight w:val="yellow"/>
        </w:rPr>
      </w:pPr>
      <w:r>
        <w:rPr>
          <w14:ligatures w14:val="none"/>
        </w:rPr>
        <w:drawing>
          <wp:inline distT="0" distB="0" distL="0" distR="0">
            <wp:extent cx="5934710" cy="3773805"/>
            <wp:effectExtent l="0" t="0" r="8890" b="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6"/>
                    <a:stretch>
                      <a:fillRect/>
                    </a:stretch>
                  </pic:blipFill>
                  <pic:spPr>
                    <a:xfrm>
                      <a:off x="0" y="0"/>
                      <a:ext cx="5949905" cy="3783323"/>
                    </a:xfrm>
                    <a:prstGeom prst="rect">
                      <a:avLst/>
                    </a:prstGeom>
                    <a:noFill/>
                    <a:ln w="9525">
                      <a:noFill/>
                    </a:ln>
                  </pic:spPr>
                </pic:pic>
              </a:graphicData>
            </a:graphic>
          </wp:inline>
        </w:drawing>
      </w:r>
    </w:p>
    <w:p w14:paraId="7EEC0FC8">
      <w:pPr>
        <w:spacing w:after="0" w:line="408" w:lineRule="auto"/>
        <w:ind w:firstLine="562" w:firstLineChars="200"/>
        <w:outlineLvl w:val="0"/>
        <w:rPr>
          <w:rFonts w:hint="eastAsia" w:ascii="仿宋" w:hAnsi="仿宋" w:eastAsia="仿宋"/>
          <w:b/>
          <w:sz w:val="28"/>
          <w:szCs w:val="21"/>
        </w:rPr>
      </w:pPr>
      <w:bookmarkStart w:id="54" w:name="_Toc182865235"/>
      <w:r>
        <w:rPr>
          <w:rFonts w:hint="eastAsia" w:ascii="仿宋" w:hAnsi="仿宋" w:eastAsia="仿宋"/>
          <w:b/>
          <w:sz w:val="28"/>
          <w:szCs w:val="21"/>
        </w:rPr>
        <w:t>六、有关建议</w:t>
      </w:r>
      <w:bookmarkEnd w:id="54"/>
    </w:p>
    <w:p w14:paraId="41FFFF1E">
      <w:pPr>
        <w:spacing w:after="0" w:line="408" w:lineRule="auto"/>
        <w:ind w:firstLine="562" w:firstLineChars="200"/>
        <w:jc w:val="both"/>
        <w:outlineLvl w:val="1"/>
        <w:rPr>
          <w:rFonts w:hint="eastAsia" w:ascii="仿宋" w:hAnsi="仿宋" w:eastAsia="仿宋"/>
          <w:b/>
          <w:sz w:val="28"/>
          <w:szCs w:val="21"/>
        </w:rPr>
      </w:pPr>
      <w:bookmarkStart w:id="55" w:name="_Toc182865236"/>
      <w:r>
        <w:rPr>
          <w:rFonts w:hint="eastAsia" w:ascii="仿宋" w:hAnsi="仿宋" w:eastAsia="仿宋"/>
          <w:b/>
          <w:sz w:val="28"/>
          <w:szCs w:val="21"/>
        </w:rPr>
        <w:t>（一）加强绩效管理，重视绩效自评工作</w:t>
      </w:r>
      <w:bookmarkEnd w:id="55"/>
    </w:p>
    <w:p w14:paraId="2B518FD8">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泉州市公安局交通警察支队洛江大队应当加强绩效管理水平，在制定绩效目标的时候应当设定与工作项目相匹配的绩效目标，计划好当年度的工作安排与工作目的。并将预算细化到具体项目，</w:t>
      </w:r>
      <w:r>
        <w:rPr>
          <w:rFonts w:hint="eastAsia" w:ascii="MS Gothic" w:hAnsi="MS Gothic" w:eastAsia="MS Gothic" w:cs="MS Gothic"/>
          <w:sz w:val="28"/>
          <w:szCs w:val="21"/>
        </w:rPr>
        <w:t>‌</w:t>
      </w:r>
      <w:r>
        <w:rPr>
          <w:rFonts w:hint="eastAsia" w:ascii="仿宋" w:hAnsi="仿宋" w:eastAsia="仿宋" w:cs="仿宋"/>
          <w:sz w:val="28"/>
          <w:szCs w:val="21"/>
        </w:rPr>
        <w:t>逐步做到项目细化、</w:t>
      </w:r>
      <w:r>
        <w:rPr>
          <w:rFonts w:hint="eastAsia" w:ascii="MS Gothic" w:hAnsi="MS Gothic" w:eastAsia="MS Gothic" w:cs="MS Gothic"/>
          <w:sz w:val="28"/>
          <w:szCs w:val="21"/>
        </w:rPr>
        <w:t>‌</w:t>
      </w:r>
      <w:r>
        <w:rPr>
          <w:rFonts w:hint="eastAsia" w:ascii="仿宋" w:hAnsi="仿宋" w:eastAsia="仿宋" w:cs="仿宋"/>
          <w:sz w:val="28"/>
          <w:szCs w:val="21"/>
        </w:rPr>
        <w:t>预算科学，</w:t>
      </w:r>
      <w:r>
        <w:rPr>
          <w:rFonts w:hint="eastAsia" w:ascii="MS Gothic" w:hAnsi="MS Gothic" w:eastAsia="MS Gothic" w:cs="MS Gothic"/>
          <w:sz w:val="28"/>
          <w:szCs w:val="21"/>
        </w:rPr>
        <w:t>‌</w:t>
      </w:r>
      <w:r>
        <w:rPr>
          <w:rFonts w:hint="eastAsia" w:ascii="仿宋" w:hAnsi="仿宋" w:eastAsia="仿宋" w:cs="仿宋"/>
          <w:sz w:val="28"/>
          <w:szCs w:val="21"/>
        </w:rPr>
        <w:t>保证绩效目标执行的合理合规，</w:t>
      </w:r>
      <w:r>
        <w:rPr>
          <w:rFonts w:hint="eastAsia" w:ascii="MS Gothic" w:hAnsi="MS Gothic" w:eastAsia="MS Gothic" w:cs="MS Gothic"/>
          <w:sz w:val="28"/>
          <w:szCs w:val="21"/>
        </w:rPr>
        <w:t>‌</w:t>
      </w:r>
      <w:r>
        <w:rPr>
          <w:rFonts w:hint="eastAsia" w:ascii="仿宋" w:hAnsi="仿宋" w:eastAsia="仿宋" w:cs="仿宋"/>
          <w:sz w:val="28"/>
          <w:szCs w:val="21"/>
        </w:rPr>
        <w:t>按照有依据、</w:t>
      </w:r>
      <w:r>
        <w:rPr>
          <w:rFonts w:hint="eastAsia" w:ascii="MS Gothic" w:hAnsi="MS Gothic" w:eastAsia="MS Gothic" w:cs="MS Gothic"/>
          <w:sz w:val="28"/>
          <w:szCs w:val="21"/>
        </w:rPr>
        <w:t>‌</w:t>
      </w:r>
      <w:r>
        <w:rPr>
          <w:rFonts w:hint="eastAsia" w:ascii="仿宋" w:hAnsi="仿宋" w:eastAsia="仿宋" w:cs="仿宋"/>
          <w:sz w:val="28"/>
          <w:szCs w:val="21"/>
        </w:rPr>
        <w:t>有标准的原则来执行，</w:t>
      </w:r>
      <w:r>
        <w:rPr>
          <w:rFonts w:hint="eastAsia" w:ascii="MS Gothic" w:hAnsi="MS Gothic" w:eastAsia="MS Gothic" w:cs="MS Gothic"/>
          <w:sz w:val="28"/>
          <w:szCs w:val="21"/>
        </w:rPr>
        <w:t>‌</w:t>
      </w:r>
      <w:r>
        <w:rPr>
          <w:rFonts w:hint="eastAsia" w:ascii="仿宋" w:hAnsi="仿宋" w:eastAsia="仿宋" w:cs="仿宋"/>
          <w:sz w:val="28"/>
          <w:szCs w:val="21"/>
        </w:rPr>
        <w:t>提高预绩效目标的精准度和有效性。同时要重视绩效自评工作，将绩效管理实际落实到工作中来，而不能像摊派任务一样简单了事。</w:t>
      </w:r>
      <w:r>
        <w:rPr>
          <w:rFonts w:hint="eastAsia" w:ascii="仿宋" w:hAnsi="仿宋" w:eastAsia="仿宋"/>
          <w:sz w:val="28"/>
          <w:szCs w:val="21"/>
        </w:rPr>
        <w:t>加强绩效自评工作，运用绩效自评的结果来发现工作中的不足，并指导未来的绩效目标的设定与实施</w:t>
      </w:r>
      <w:r>
        <w:rPr>
          <w:rFonts w:hint="eastAsia" w:ascii="仿宋" w:hAnsi="仿宋" w:eastAsia="仿宋" w:cs="宋体"/>
          <w:sz w:val="28"/>
          <w:szCs w:val="21"/>
        </w:rPr>
        <w:t>。</w:t>
      </w:r>
    </w:p>
    <w:p w14:paraId="173B8CDD">
      <w:pPr>
        <w:spacing w:after="0" w:line="408" w:lineRule="auto"/>
        <w:ind w:firstLine="562" w:firstLineChars="200"/>
        <w:jc w:val="both"/>
        <w:outlineLvl w:val="1"/>
        <w:rPr>
          <w:rFonts w:hint="eastAsia" w:ascii="仿宋" w:hAnsi="仿宋" w:eastAsia="仿宋"/>
          <w:b/>
          <w:sz w:val="28"/>
          <w:szCs w:val="21"/>
        </w:rPr>
      </w:pPr>
      <w:bookmarkStart w:id="56" w:name="_Toc182865237"/>
      <w:r>
        <w:rPr>
          <w:rFonts w:hint="eastAsia" w:ascii="仿宋" w:hAnsi="仿宋" w:eastAsia="仿宋"/>
          <w:b/>
          <w:sz w:val="28"/>
          <w:szCs w:val="21"/>
        </w:rPr>
        <w:t>（二）强化合同签订及履约管理，严格按照合同约定执行</w:t>
      </w:r>
      <w:bookmarkEnd w:id="56"/>
    </w:p>
    <w:p w14:paraId="6297C630">
      <w:pPr>
        <w:spacing w:after="0" w:line="408" w:lineRule="auto"/>
        <w:ind w:firstLine="560" w:firstLineChars="200"/>
        <w:jc w:val="both"/>
        <w:rPr>
          <w:rFonts w:hint="eastAsia" w:ascii="仿宋" w:hAnsi="仿宋" w:eastAsia="仿宋" w:cs="仿宋"/>
          <w:sz w:val="28"/>
          <w:szCs w:val="21"/>
        </w:rPr>
      </w:pPr>
      <w:r>
        <w:rPr>
          <w:rFonts w:hint="eastAsia" w:ascii="仿宋" w:hAnsi="仿宋" w:eastAsia="仿宋"/>
          <w:sz w:val="28"/>
          <w:szCs w:val="21"/>
        </w:rPr>
        <w:t>泉州市公安局交通警察支队洛江大队应当加强对合同签订的规范性及合同履约的规范性。加强对合同款的支付的管理，做到规范支付金额，严格按照合同约定进行支付，强化履约管理，强化责任约束。可以在订立合同前，各方就合同中所约定的条款进行明确的事前约定，同时可以组织专人对合同条款进行审查，确认合同中的各项条款及约定均能够按约定履约再进行签订合同，要</w:t>
      </w:r>
      <w:r>
        <w:rPr>
          <w:rFonts w:hint="eastAsia" w:ascii="MS Gothic" w:hAnsi="MS Gothic" w:eastAsia="MS Gothic" w:cs="MS Gothic"/>
          <w:sz w:val="28"/>
          <w:szCs w:val="21"/>
        </w:rPr>
        <w:t>‌</w:t>
      </w:r>
      <w:r>
        <w:rPr>
          <w:rFonts w:hint="eastAsia" w:ascii="仿宋" w:hAnsi="仿宋" w:eastAsia="仿宋" w:cs="仿宋"/>
          <w:sz w:val="28"/>
          <w:szCs w:val="21"/>
        </w:rPr>
        <w:t>确保合同条款明确、</w:t>
      </w:r>
      <w:r>
        <w:rPr>
          <w:rFonts w:hint="eastAsia" w:ascii="MS Gothic" w:hAnsi="MS Gothic" w:eastAsia="MS Gothic" w:cs="MS Gothic"/>
          <w:sz w:val="28"/>
          <w:szCs w:val="21"/>
        </w:rPr>
        <w:t>‌</w:t>
      </w:r>
      <w:r>
        <w:rPr>
          <w:rFonts w:hint="eastAsia" w:ascii="仿宋" w:hAnsi="仿宋" w:eastAsia="仿宋" w:cs="仿宋"/>
          <w:sz w:val="28"/>
          <w:szCs w:val="21"/>
        </w:rPr>
        <w:t>具体、</w:t>
      </w:r>
      <w:r>
        <w:rPr>
          <w:rFonts w:hint="eastAsia" w:ascii="MS Gothic" w:hAnsi="MS Gothic" w:eastAsia="MS Gothic" w:cs="MS Gothic"/>
          <w:sz w:val="28"/>
          <w:szCs w:val="21"/>
        </w:rPr>
        <w:t>‌</w:t>
      </w:r>
      <w:r>
        <w:rPr>
          <w:rFonts w:hint="eastAsia" w:ascii="仿宋" w:hAnsi="仿宋" w:eastAsia="仿宋" w:cs="仿宋"/>
          <w:sz w:val="28"/>
          <w:szCs w:val="21"/>
        </w:rPr>
        <w:t>完整，</w:t>
      </w:r>
      <w:r>
        <w:rPr>
          <w:rFonts w:hint="eastAsia" w:ascii="MS Gothic" w:hAnsi="MS Gothic" w:eastAsia="MS Gothic" w:cs="MS Gothic"/>
          <w:sz w:val="28"/>
          <w:szCs w:val="21"/>
        </w:rPr>
        <w:t>‌</w:t>
      </w:r>
      <w:r>
        <w:rPr>
          <w:rFonts w:hint="eastAsia" w:ascii="仿宋" w:hAnsi="仿宋" w:eastAsia="仿宋" w:cs="仿宋"/>
          <w:sz w:val="28"/>
          <w:szCs w:val="21"/>
        </w:rPr>
        <w:t>特别注意对合同主体的资质、</w:t>
      </w:r>
      <w:r>
        <w:rPr>
          <w:rFonts w:hint="eastAsia" w:ascii="MS Gothic" w:hAnsi="MS Gothic" w:eastAsia="MS Gothic" w:cs="MS Gothic"/>
          <w:sz w:val="28"/>
          <w:szCs w:val="21"/>
        </w:rPr>
        <w:t>‌</w:t>
      </w:r>
      <w:r>
        <w:rPr>
          <w:rFonts w:hint="eastAsia" w:ascii="仿宋" w:hAnsi="仿宋" w:eastAsia="仿宋" w:cs="仿宋"/>
          <w:sz w:val="28"/>
          <w:szCs w:val="21"/>
        </w:rPr>
        <w:t>履约能力进行核实，衡量自身财务情况，判断支付能力，预估现金流量。如果合同签订后合同双方达成新的协议或共识应当及时签订补充协议来做到对新约定的补充，也是合同管理的一种方式，做到有合同可依，事后才能做到严格按照合同的约定来执行合同，并定期对合同的履约执行情况进行检查，做到及时发现履约过程中的问题，并加强沟通，确保合同的履约执行。</w:t>
      </w:r>
    </w:p>
    <w:p w14:paraId="59979880">
      <w:pPr>
        <w:spacing w:after="0" w:line="408" w:lineRule="auto"/>
        <w:ind w:firstLine="562" w:firstLineChars="200"/>
        <w:jc w:val="both"/>
        <w:outlineLvl w:val="1"/>
        <w:rPr>
          <w:rFonts w:hint="eastAsia" w:ascii="仿宋" w:hAnsi="仿宋" w:eastAsia="仿宋"/>
          <w:b/>
          <w:sz w:val="28"/>
          <w:szCs w:val="21"/>
        </w:rPr>
      </w:pPr>
      <w:bookmarkStart w:id="57" w:name="_Toc182865238"/>
      <w:r>
        <w:rPr>
          <w:rFonts w:hint="eastAsia" w:ascii="仿宋" w:hAnsi="仿宋" w:eastAsia="仿宋"/>
          <w:b/>
          <w:sz w:val="28"/>
          <w:szCs w:val="21"/>
        </w:rPr>
        <w:t>（三）加强项目验收的规范性</w:t>
      </w:r>
      <w:bookmarkEnd w:id="57"/>
    </w:p>
    <w:p w14:paraId="72BC4145">
      <w:pPr>
        <w:spacing w:after="0" w:line="408" w:lineRule="auto"/>
        <w:ind w:firstLine="560" w:firstLineChars="200"/>
        <w:jc w:val="both"/>
        <w:rPr>
          <w:rFonts w:hint="eastAsia" w:ascii="仿宋" w:hAnsi="仿宋" w:eastAsia="仿宋"/>
          <w:sz w:val="28"/>
          <w:szCs w:val="21"/>
          <w:highlight w:val="yellow"/>
        </w:rPr>
      </w:pPr>
      <w:r>
        <w:rPr>
          <w:rFonts w:hint="eastAsia" w:ascii="仿宋" w:hAnsi="仿宋" w:eastAsia="仿宋"/>
          <w:sz w:val="28"/>
          <w:szCs w:val="21"/>
        </w:rPr>
        <w:t>泉州市公安局交通警察支队洛江大队应当加强项目验收的规范性，加强在验收环节的监督与审核。要做到明确验收标准和流程，做到按标准验收，严格按照验收流程来执行验收工作。要建立完善的验收记录和反馈机制，确保在验收的过程中有专人监督验收，对验收过程进行有效的监控监督，才能保证验收工作不流于形式。同时在验收单必须要做到留痕处理，在日后的项目检查中，才能对验收过程有个详细的记录，最终才能加强项目验收的规范性。</w:t>
      </w:r>
    </w:p>
    <w:p w14:paraId="3FB65958">
      <w:pPr>
        <w:spacing w:after="0" w:line="408" w:lineRule="auto"/>
        <w:ind w:firstLine="562" w:firstLineChars="200"/>
        <w:outlineLvl w:val="0"/>
        <w:rPr>
          <w:rFonts w:hint="eastAsia" w:ascii="仿宋" w:hAnsi="仿宋" w:eastAsia="仿宋"/>
          <w:b/>
          <w:sz w:val="28"/>
          <w:szCs w:val="21"/>
        </w:rPr>
      </w:pPr>
      <w:bookmarkStart w:id="58" w:name="_Toc182865239"/>
      <w:r>
        <w:rPr>
          <w:rFonts w:hint="eastAsia" w:ascii="仿宋" w:hAnsi="仿宋" w:eastAsia="仿宋"/>
          <w:b/>
          <w:sz w:val="28"/>
          <w:szCs w:val="21"/>
        </w:rPr>
        <w:t>七、其他需要说明的问题</w:t>
      </w:r>
      <w:bookmarkEnd w:id="58"/>
    </w:p>
    <w:p w14:paraId="5FE60534">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本报告中“2023年洛江区道路交通安全专项资金”相关数据，均以项目单位提供的项目支出明细账、财务报表为来源依据。</w:t>
      </w:r>
    </w:p>
    <w:p w14:paraId="5C3122BF">
      <w:pPr>
        <w:spacing w:after="0" w:line="408" w:lineRule="auto"/>
        <w:ind w:firstLine="560" w:firstLineChars="200"/>
        <w:jc w:val="both"/>
        <w:rPr>
          <w:rFonts w:hint="eastAsia" w:ascii="仿宋" w:hAnsi="仿宋" w:eastAsia="仿宋"/>
          <w:sz w:val="28"/>
          <w:szCs w:val="21"/>
        </w:rPr>
      </w:pPr>
    </w:p>
    <w:p w14:paraId="2E588F18">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 xml:space="preserve">                                      泉州市启程财务咨询有限公司</w:t>
      </w:r>
    </w:p>
    <w:p w14:paraId="07279F67">
      <w:pPr>
        <w:spacing w:after="0" w:line="408" w:lineRule="auto"/>
        <w:ind w:firstLine="560" w:firstLineChars="200"/>
        <w:jc w:val="both"/>
        <w:rPr>
          <w:rFonts w:hint="eastAsia" w:ascii="仿宋" w:hAnsi="仿宋" w:eastAsia="仿宋"/>
          <w:sz w:val="28"/>
          <w:szCs w:val="21"/>
        </w:rPr>
      </w:pPr>
      <w:r>
        <w:rPr>
          <w:rFonts w:hint="eastAsia" w:ascii="仿宋" w:hAnsi="仿宋" w:eastAsia="仿宋"/>
          <w:sz w:val="28"/>
          <w:szCs w:val="21"/>
        </w:rPr>
        <w:t xml:space="preserve">                                           2024年10月25日</w:t>
      </w:r>
    </w:p>
    <w:p w14:paraId="6182F6BE">
      <w:pPr>
        <w:spacing w:after="0" w:line="408" w:lineRule="auto"/>
        <w:ind w:firstLine="422" w:firstLineChars="200"/>
        <w:outlineLvl w:val="0"/>
        <w:rPr>
          <w:rFonts w:hint="eastAsia" w:ascii="仿宋" w:hAnsi="仿宋" w:eastAsia="仿宋"/>
          <w:b/>
          <w:sz w:val="21"/>
          <w:szCs w:val="16"/>
        </w:rPr>
      </w:pPr>
      <w:bookmarkStart w:id="59" w:name="_Toc182865240"/>
      <w:r>
        <w:rPr>
          <w:rFonts w:hint="eastAsia" w:ascii="仿宋" w:hAnsi="仿宋" w:eastAsia="仿宋"/>
          <w:b/>
          <w:sz w:val="21"/>
          <w:szCs w:val="16"/>
        </w:rPr>
        <w:t>附件一：调查问卷</w:t>
      </w:r>
      <w:bookmarkEnd w:id="59"/>
    </w:p>
    <w:tbl>
      <w:tblPr>
        <w:tblStyle w:val="9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08"/>
        <w:gridCol w:w="2046"/>
      </w:tblGrid>
      <w:tr w14:paraId="26F6C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3962" w:type="pct"/>
            <w:shd w:val="clear" w:color="auto" w:fill="D8D8D8" w:themeFill="background1" w:themeFillShade="D9"/>
            <w:vAlign w:val="center"/>
          </w:tcPr>
          <w:p w14:paraId="1AA4B37B">
            <w:pPr>
              <w:adjustRightInd w:val="0"/>
              <w:snapToGrid w:val="0"/>
              <w:spacing w:after="0" w:line="408" w:lineRule="auto"/>
              <w:jc w:val="center"/>
              <w:rPr>
                <w:rFonts w:hint="eastAsia" w:ascii="仿宋" w:hAnsi="仿宋" w:eastAsia="仿宋" w:cs="仿宋"/>
                <w:b/>
                <w:snapToGrid w:val="0"/>
                <w:kern w:val="0"/>
                <w:sz w:val="18"/>
              </w:rPr>
            </w:pPr>
            <w:r>
              <w:rPr>
                <w:rFonts w:hint="eastAsia" w:ascii="仿宋" w:hAnsi="仿宋" w:eastAsia="仿宋" w:cs="仿宋"/>
                <w:b/>
                <w:snapToGrid w:val="0"/>
                <w:kern w:val="0"/>
                <w:sz w:val="18"/>
              </w:rPr>
              <w:t>调查项目</w:t>
            </w:r>
          </w:p>
        </w:tc>
        <w:tc>
          <w:tcPr>
            <w:tcW w:w="1038" w:type="pct"/>
            <w:shd w:val="clear" w:color="auto" w:fill="D8D8D8" w:themeFill="background1" w:themeFillShade="D9"/>
            <w:vAlign w:val="center"/>
          </w:tcPr>
          <w:p w14:paraId="3B8636F2">
            <w:pPr>
              <w:adjustRightInd w:val="0"/>
              <w:snapToGrid w:val="0"/>
              <w:spacing w:after="0" w:line="408" w:lineRule="auto"/>
              <w:jc w:val="center"/>
              <w:rPr>
                <w:rFonts w:hint="eastAsia" w:ascii="仿宋" w:hAnsi="仿宋" w:eastAsia="仿宋" w:cs="仿宋"/>
                <w:b/>
                <w:snapToGrid w:val="0"/>
                <w:kern w:val="0"/>
                <w:sz w:val="18"/>
              </w:rPr>
            </w:pPr>
            <w:r>
              <w:rPr>
                <w:rFonts w:hint="eastAsia" w:ascii="仿宋" w:hAnsi="仿宋" w:eastAsia="仿宋" w:cs="仿宋"/>
                <w:b/>
                <w:snapToGrid w:val="0"/>
                <w:kern w:val="0"/>
                <w:sz w:val="18"/>
              </w:rPr>
              <w:t>选择</w:t>
            </w:r>
          </w:p>
        </w:tc>
      </w:tr>
      <w:tr w14:paraId="6B284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62" w:type="pct"/>
            <w:shd w:val="clear" w:color="auto" w:fill="auto"/>
            <w:vAlign w:val="center"/>
          </w:tcPr>
          <w:p w14:paraId="40476096">
            <w:pPr>
              <w:adjustRightInd w:val="0"/>
              <w:snapToGrid w:val="0"/>
              <w:spacing w:after="0" w:line="408" w:lineRule="auto"/>
              <w:rPr>
                <w:rFonts w:hint="eastAsia" w:ascii="仿宋" w:hAnsi="仿宋" w:eastAsia="仿宋" w:cs="仿宋"/>
                <w:snapToGrid w:val="0"/>
                <w:kern w:val="0"/>
                <w:sz w:val="18"/>
              </w:rPr>
            </w:pPr>
            <w:r>
              <w:rPr>
                <w:rFonts w:hint="eastAsia" w:ascii="仿宋" w:hAnsi="仿宋" w:eastAsia="仿宋" w:cs="仿宋"/>
                <w:snapToGrid w:val="0"/>
                <w:kern w:val="0"/>
                <w:sz w:val="18"/>
              </w:rPr>
              <w:t>（1）你是乘坐什么交通工具通勤？</w:t>
            </w:r>
          </w:p>
          <w:p w14:paraId="35D563CD">
            <w:pPr>
              <w:adjustRightInd w:val="0"/>
              <w:snapToGrid w:val="0"/>
              <w:spacing w:after="0" w:line="408" w:lineRule="auto"/>
              <w:rPr>
                <w:rFonts w:hint="eastAsia" w:ascii="仿宋" w:hAnsi="仿宋" w:eastAsia="仿宋" w:cs="仿宋"/>
                <w:snapToGrid w:val="0"/>
                <w:kern w:val="0"/>
                <w:sz w:val="18"/>
              </w:rPr>
            </w:pPr>
            <w:r>
              <w:rPr>
                <w:rFonts w:hint="eastAsia" w:ascii="仿宋" w:hAnsi="仿宋" w:eastAsia="仿宋" w:cs="仿宋"/>
                <w:snapToGrid w:val="0"/>
                <w:kern w:val="0"/>
                <w:sz w:val="18"/>
              </w:rPr>
              <w:t>A：公交车</w:t>
            </w:r>
          </w:p>
          <w:p w14:paraId="1C2C5FE5">
            <w:pPr>
              <w:adjustRightInd w:val="0"/>
              <w:snapToGrid w:val="0"/>
              <w:spacing w:after="0" w:line="408" w:lineRule="auto"/>
              <w:rPr>
                <w:rFonts w:hint="eastAsia" w:ascii="仿宋" w:hAnsi="仿宋" w:eastAsia="仿宋" w:cs="仿宋"/>
                <w:snapToGrid w:val="0"/>
                <w:kern w:val="0"/>
                <w:sz w:val="18"/>
              </w:rPr>
            </w:pPr>
            <w:r>
              <w:rPr>
                <w:rFonts w:hint="eastAsia" w:ascii="仿宋" w:hAnsi="仿宋" w:eastAsia="仿宋" w:cs="仿宋"/>
                <w:snapToGrid w:val="0"/>
                <w:kern w:val="0"/>
                <w:sz w:val="18"/>
              </w:rPr>
              <w:t>B：电动车</w:t>
            </w:r>
          </w:p>
          <w:p w14:paraId="384AF71A">
            <w:pPr>
              <w:adjustRightInd w:val="0"/>
              <w:snapToGrid w:val="0"/>
              <w:spacing w:after="0" w:line="408" w:lineRule="auto"/>
              <w:rPr>
                <w:rFonts w:hint="eastAsia" w:ascii="仿宋" w:hAnsi="仿宋" w:eastAsia="仿宋" w:cs="仿宋"/>
                <w:snapToGrid w:val="0"/>
                <w:kern w:val="0"/>
                <w:sz w:val="18"/>
              </w:rPr>
            </w:pPr>
            <w:r>
              <w:rPr>
                <w:rFonts w:hint="eastAsia" w:ascii="仿宋" w:hAnsi="仿宋" w:eastAsia="仿宋" w:cs="仿宋"/>
                <w:snapToGrid w:val="0"/>
                <w:kern w:val="0"/>
                <w:sz w:val="18"/>
              </w:rPr>
              <w:t>C：汽车</w:t>
            </w:r>
          </w:p>
          <w:p w14:paraId="0798B6B7">
            <w:pPr>
              <w:adjustRightInd w:val="0"/>
              <w:snapToGrid w:val="0"/>
              <w:spacing w:after="0" w:line="408" w:lineRule="auto"/>
              <w:rPr>
                <w:rFonts w:hint="eastAsia" w:ascii="仿宋" w:hAnsi="仿宋" w:eastAsia="仿宋" w:cs="仿宋"/>
                <w:snapToGrid w:val="0"/>
                <w:kern w:val="0"/>
                <w:sz w:val="18"/>
              </w:rPr>
            </w:pPr>
            <w:r>
              <w:rPr>
                <w:rFonts w:hint="eastAsia" w:ascii="仿宋" w:hAnsi="仿宋" w:eastAsia="仿宋" w:cs="仿宋"/>
                <w:snapToGrid w:val="0"/>
                <w:kern w:val="0"/>
                <w:sz w:val="18"/>
              </w:rPr>
              <w:t>D：其他</w:t>
            </w:r>
          </w:p>
        </w:tc>
        <w:tc>
          <w:tcPr>
            <w:tcW w:w="1038" w:type="pct"/>
            <w:shd w:val="clear" w:color="auto" w:fill="auto"/>
            <w:vAlign w:val="center"/>
          </w:tcPr>
          <w:p w14:paraId="08A63412">
            <w:pPr>
              <w:adjustRightInd w:val="0"/>
              <w:snapToGrid w:val="0"/>
              <w:spacing w:after="0" w:line="408" w:lineRule="auto"/>
              <w:rPr>
                <w:rFonts w:hint="eastAsia" w:ascii="仿宋" w:hAnsi="仿宋" w:eastAsia="仿宋" w:cs="仿宋"/>
                <w:snapToGrid w:val="0"/>
                <w:kern w:val="0"/>
                <w:sz w:val="18"/>
              </w:rPr>
            </w:pPr>
          </w:p>
        </w:tc>
      </w:tr>
      <w:tr w14:paraId="5FD53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62" w:type="pct"/>
            <w:shd w:val="clear" w:color="auto" w:fill="auto"/>
            <w:vAlign w:val="center"/>
          </w:tcPr>
          <w:p w14:paraId="27149B8B">
            <w:pPr>
              <w:adjustRightInd w:val="0"/>
              <w:snapToGrid w:val="0"/>
              <w:spacing w:after="0" w:line="408" w:lineRule="auto"/>
              <w:rPr>
                <w:rFonts w:hint="eastAsia" w:ascii="仿宋" w:hAnsi="仿宋" w:eastAsia="仿宋" w:cs="仿宋"/>
                <w:snapToGrid w:val="0"/>
                <w:kern w:val="0"/>
                <w:sz w:val="18"/>
              </w:rPr>
            </w:pPr>
            <w:r>
              <w:rPr>
                <w:rFonts w:hint="eastAsia" w:ascii="仿宋" w:hAnsi="仿宋" w:eastAsia="仿宋" w:cs="仿宋"/>
                <w:snapToGrid w:val="0"/>
                <w:kern w:val="0"/>
                <w:sz w:val="18"/>
              </w:rPr>
              <w:t>（2）你觉得道路安全隐患整治对道路安全是否有实质性帮助？</w:t>
            </w:r>
          </w:p>
          <w:p w14:paraId="7BA85F09">
            <w:pPr>
              <w:adjustRightInd w:val="0"/>
              <w:snapToGrid w:val="0"/>
              <w:spacing w:after="0" w:line="408" w:lineRule="auto"/>
              <w:rPr>
                <w:rFonts w:hint="eastAsia" w:ascii="仿宋" w:hAnsi="仿宋" w:eastAsia="仿宋" w:cs="仿宋"/>
                <w:snapToGrid w:val="0"/>
                <w:kern w:val="0"/>
                <w:sz w:val="18"/>
              </w:rPr>
            </w:pPr>
            <w:r>
              <w:rPr>
                <w:rFonts w:hint="eastAsia" w:ascii="仿宋" w:hAnsi="仿宋" w:eastAsia="仿宋" w:cs="仿宋"/>
                <w:snapToGrid w:val="0"/>
                <w:kern w:val="0"/>
                <w:sz w:val="18"/>
              </w:rPr>
              <w:t>A：有</w:t>
            </w:r>
          </w:p>
          <w:p w14:paraId="3B697EB2">
            <w:pPr>
              <w:adjustRightInd w:val="0"/>
              <w:snapToGrid w:val="0"/>
              <w:spacing w:after="0" w:line="408" w:lineRule="auto"/>
              <w:rPr>
                <w:rFonts w:hint="eastAsia" w:ascii="仿宋" w:hAnsi="仿宋" w:eastAsia="仿宋" w:cs="仿宋"/>
                <w:snapToGrid w:val="0"/>
                <w:kern w:val="0"/>
                <w:sz w:val="18"/>
              </w:rPr>
            </w:pPr>
            <w:r>
              <w:rPr>
                <w:rFonts w:hint="eastAsia" w:ascii="仿宋" w:hAnsi="仿宋" w:eastAsia="仿宋" w:cs="仿宋"/>
                <w:snapToGrid w:val="0"/>
                <w:kern w:val="0"/>
                <w:sz w:val="18"/>
              </w:rPr>
              <w:t>B：没有</w:t>
            </w:r>
          </w:p>
        </w:tc>
        <w:tc>
          <w:tcPr>
            <w:tcW w:w="1038" w:type="pct"/>
            <w:shd w:val="clear" w:color="auto" w:fill="auto"/>
            <w:vAlign w:val="center"/>
          </w:tcPr>
          <w:p w14:paraId="592E49E2">
            <w:pPr>
              <w:adjustRightInd w:val="0"/>
              <w:snapToGrid w:val="0"/>
              <w:spacing w:after="0" w:line="408" w:lineRule="auto"/>
              <w:rPr>
                <w:rFonts w:hint="eastAsia" w:ascii="仿宋" w:hAnsi="仿宋" w:eastAsia="仿宋" w:cs="仿宋"/>
                <w:snapToGrid w:val="0"/>
                <w:kern w:val="0"/>
                <w:sz w:val="18"/>
              </w:rPr>
            </w:pPr>
          </w:p>
        </w:tc>
      </w:tr>
      <w:tr w14:paraId="3AFCA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62" w:type="pct"/>
            <w:shd w:val="clear" w:color="auto" w:fill="auto"/>
            <w:vAlign w:val="center"/>
          </w:tcPr>
          <w:p w14:paraId="37BA04AF">
            <w:pPr>
              <w:adjustRightInd w:val="0"/>
              <w:snapToGrid w:val="0"/>
              <w:spacing w:after="0" w:line="408" w:lineRule="auto"/>
              <w:rPr>
                <w:rFonts w:hint="eastAsia" w:ascii="仿宋" w:hAnsi="仿宋" w:eastAsia="仿宋" w:cs="仿宋"/>
                <w:snapToGrid w:val="0"/>
                <w:kern w:val="0"/>
                <w:sz w:val="18"/>
              </w:rPr>
            </w:pPr>
            <w:r>
              <w:rPr>
                <w:rFonts w:hint="eastAsia" w:ascii="仿宋" w:hAnsi="仿宋" w:eastAsia="仿宋" w:cs="仿宋"/>
                <w:snapToGrid w:val="0"/>
                <w:kern w:val="0"/>
                <w:sz w:val="18"/>
              </w:rPr>
              <w:t>（3）你觉得道路安全隐患整治对道路安全给人民群众带来了什么好处？</w:t>
            </w:r>
          </w:p>
          <w:p w14:paraId="0481B164">
            <w:pPr>
              <w:adjustRightInd w:val="0"/>
              <w:snapToGrid w:val="0"/>
              <w:spacing w:after="0" w:line="408" w:lineRule="auto"/>
              <w:rPr>
                <w:rFonts w:hint="eastAsia" w:ascii="仿宋" w:hAnsi="仿宋" w:eastAsia="仿宋" w:cs="仿宋"/>
                <w:snapToGrid w:val="0"/>
                <w:kern w:val="0"/>
                <w:sz w:val="18"/>
              </w:rPr>
            </w:pPr>
            <w:r>
              <w:rPr>
                <w:rFonts w:hint="eastAsia" w:ascii="仿宋" w:hAnsi="仿宋" w:eastAsia="仿宋" w:cs="仿宋"/>
                <w:snapToGrid w:val="0"/>
                <w:kern w:val="0"/>
                <w:sz w:val="18"/>
              </w:rPr>
              <w:t>A：加强了道路的安全</w:t>
            </w:r>
          </w:p>
          <w:p w14:paraId="7E7F0617">
            <w:pPr>
              <w:adjustRightInd w:val="0"/>
              <w:snapToGrid w:val="0"/>
              <w:spacing w:after="0" w:line="408" w:lineRule="auto"/>
              <w:rPr>
                <w:rFonts w:hint="eastAsia" w:ascii="仿宋" w:hAnsi="仿宋" w:eastAsia="仿宋" w:cs="仿宋"/>
                <w:snapToGrid w:val="0"/>
                <w:kern w:val="0"/>
                <w:sz w:val="18"/>
              </w:rPr>
            </w:pPr>
            <w:r>
              <w:rPr>
                <w:rFonts w:hint="eastAsia" w:ascii="仿宋" w:hAnsi="仿宋" w:eastAsia="仿宋" w:cs="仿宋"/>
                <w:snapToGrid w:val="0"/>
                <w:kern w:val="0"/>
                <w:sz w:val="18"/>
              </w:rPr>
              <w:t>B：使交通更加便利</w:t>
            </w:r>
          </w:p>
          <w:p w14:paraId="6A19AC78">
            <w:pPr>
              <w:adjustRightInd w:val="0"/>
              <w:snapToGrid w:val="0"/>
              <w:spacing w:after="0" w:line="408" w:lineRule="auto"/>
              <w:rPr>
                <w:rFonts w:hint="eastAsia" w:ascii="仿宋" w:hAnsi="仿宋" w:eastAsia="仿宋" w:cs="仿宋"/>
                <w:snapToGrid w:val="0"/>
                <w:kern w:val="0"/>
                <w:sz w:val="18"/>
              </w:rPr>
            </w:pPr>
            <w:r>
              <w:rPr>
                <w:rFonts w:hint="eastAsia" w:ascii="仿宋" w:hAnsi="仿宋" w:eastAsia="仿宋" w:cs="仿宋"/>
                <w:snapToGrid w:val="0"/>
                <w:kern w:val="0"/>
                <w:sz w:val="18"/>
              </w:rPr>
              <w:t>C：降低了交通事故的发生</w:t>
            </w:r>
          </w:p>
          <w:p w14:paraId="252E8775">
            <w:pPr>
              <w:adjustRightInd w:val="0"/>
              <w:snapToGrid w:val="0"/>
              <w:spacing w:after="0" w:line="408" w:lineRule="auto"/>
              <w:rPr>
                <w:rFonts w:hint="eastAsia" w:ascii="仿宋" w:hAnsi="仿宋" w:eastAsia="仿宋" w:cs="仿宋"/>
                <w:snapToGrid w:val="0"/>
                <w:kern w:val="0"/>
                <w:sz w:val="18"/>
              </w:rPr>
            </w:pPr>
            <w:r>
              <w:rPr>
                <w:rFonts w:hint="eastAsia" w:ascii="仿宋" w:hAnsi="仿宋" w:eastAsia="仿宋" w:cs="仿宋"/>
                <w:snapToGrid w:val="0"/>
                <w:kern w:val="0"/>
                <w:sz w:val="18"/>
              </w:rPr>
              <w:t>D：其他</w:t>
            </w:r>
          </w:p>
        </w:tc>
        <w:tc>
          <w:tcPr>
            <w:tcW w:w="1038" w:type="pct"/>
            <w:shd w:val="clear" w:color="auto" w:fill="auto"/>
            <w:vAlign w:val="center"/>
          </w:tcPr>
          <w:p w14:paraId="050F675A">
            <w:pPr>
              <w:adjustRightInd w:val="0"/>
              <w:snapToGrid w:val="0"/>
              <w:spacing w:after="0" w:line="408" w:lineRule="auto"/>
              <w:rPr>
                <w:rFonts w:hint="eastAsia" w:ascii="仿宋" w:hAnsi="仿宋" w:eastAsia="仿宋" w:cs="仿宋"/>
                <w:snapToGrid w:val="0"/>
                <w:kern w:val="0"/>
                <w:sz w:val="18"/>
              </w:rPr>
            </w:pPr>
          </w:p>
        </w:tc>
      </w:tr>
      <w:tr w14:paraId="6ACBE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62" w:type="pct"/>
            <w:shd w:val="clear" w:color="auto" w:fill="auto"/>
            <w:vAlign w:val="center"/>
          </w:tcPr>
          <w:p w14:paraId="425B6510">
            <w:pPr>
              <w:adjustRightInd w:val="0"/>
              <w:snapToGrid w:val="0"/>
              <w:spacing w:after="0" w:line="408" w:lineRule="auto"/>
              <w:rPr>
                <w:rFonts w:hint="eastAsia" w:ascii="仿宋" w:hAnsi="仿宋" w:eastAsia="仿宋" w:cs="仿宋"/>
                <w:snapToGrid w:val="0"/>
                <w:kern w:val="0"/>
                <w:sz w:val="18"/>
              </w:rPr>
            </w:pPr>
            <w:r>
              <w:rPr>
                <w:rFonts w:hint="eastAsia" w:ascii="仿宋" w:hAnsi="仿宋" w:eastAsia="仿宋" w:cs="仿宋"/>
                <w:snapToGrid w:val="0"/>
                <w:kern w:val="0"/>
                <w:sz w:val="18"/>
              </w:rPr>
              <w:t>（4）你觉得道路安全隐患整治的过程中有什么不足？</w:t>
            </w:r>
          </w:p>
          <w:p w14:paraId="615283A3">
            <w:pPr>
              <w:adjustRightInd w:val="0"/>
              <w:snapToGrid w:val="0"/>
              <w:spacing w:after="0" w:line="408" w:lineRule="auto"/>
              <w:rPr>
                <w:rFonts w:hint="eastAsia" w:ascii="仿宋" w:hAnsi="仿宋" w:eastAsia="仿宋" w:cs="仿宋"/>
                <w:snapToGrid w:val="0"/>
                <w:kern w:val="0"/>
                <w:sz w:val="18"/>
              </w:rPr>
            </w:pPr>
            <w:r>
              <w:rPr>
                <w:rFonts w:hint="eastAsia" w:ascii="仿宋" w:hAnsi="仿宋" w:eastAsia="仿宋" w:cs="仿宋"/>
                <w:snapToGrid w:val="0"/>
                <w:kern w:val="0"/>
                <w:sz w:val="18"/>
              </w:rPr>
              <w:t>A：道路安全隐患整治的面不够广泛</w:t>
            </w:r>
          </w:p>
          <w:p w14:paraId="3590F6DB">
            <w:pPr>
              <w:adjustRightInd w:val="0"/>
              <w:snapToGrid w:val="0"/>
              <w:spacing w:after="0" w:line="408" w:lineRule="auto"/>
              <w:rPr>
                <w:rFonts w:hint="eastAsia" w:ascii="仿宋" w:hAnsi="仿宋" w:eastAsia="仿宋" w:cs="仿宋"/>
                <w:snapToGrid w:val="0"/>
                <w:kern w:val="0"/>
                <w:sz w:val="18"/>
              </w:rPr>
            </w:pPr>
            <w:r>
              <w:rPr>
                <w:rFonts w:hint="eastAsia" w:ascii="仿宋" w:hAnsi="仿宋" w:eastAsia="仿宋" w:cs="仿宋"/>
                <w:snapToGrid w:val="0"/>
                <w:kern w:val="0"/>
                <w:sz w:val="18"/>
              </w:rPr>
              <w:t>B：道路安全隐患整治的后期维护不足</w:t>
            </w:r>
          </w:p>
          <w:p w14:paraId="155B05F4">
            <w:pPr>
              <w:adjustRightInd w:val="0"/>
              <w:snapToGrid w:val="0"/>
              <w:spacing w:after="0" w:line="408" w:lineRule="auto"/>
              <w:rPr>
                <w:rFonts w:hint="eastAsia" w:ascii="仿宋" w:hAnsi="仿宋" w:eastAsia="仿宋" w:cs="仿宋"/>
                <w:snapToGrid w:val="0"/>
                <w:kern w:val="0"/>
                <w:sz w:val="18"/>
              </w:rPr>
            </w:pPr>
            <w:r>
              <w:rPr>
                <w:rFonts w:hint="eastAsia" w:ascii="仿宋" w:hAnsi="仿宋" w:eastAsia="仿宋" w:cs="仿宋"/>
                <w:snapToGrid w:val="0"/>
                <w:kern w:val="0"/>
                <w:sz w:val="18"/>
              </w:rPr>
              <w:t>C：道路安全隐患整治频率较低</w:t>
            </w:r>
          </w:p>
          <w:p w14:paraId="34960E19">
            <w:pPr>
              <w:adjustRightInd w:val="0"/>
              <w:snapToGrid w:val="0"/>
              <w:spacing w:after="0" w:line="408" w:lineRule="auto"/>
              <w:rPr>
                <w:rFonts w:hint="eastAsia" w:ascii="仿宋" w:hAnsi="仿宋" w:eastAsia="仿宋" w:cs="仿宋"/>
                <w:snapToGrid w:val="0"/>
                <w:kern w:val="0"/>
                <w:sz w:val="18"/>
              </w:rPr>
            </w:pPr>
            <w:r>
              <w:rPr>
                <w:rFonts w:hint="eastAsia" w:ascii="仿宋" w:hAnsi="仿宋" w:eastAsia="仿宋" w:cs="仿宋"/>
                <w:snapToGrid w:val="0"/>
                <w:kern w:val="0"/>
                <w:sz w:val="18"/>
              </w:rPr>
              <w:t>D：其他</w:t>
            </w:r>
          </w:p>
        </w:tc>
        <w:tc>
          <w:tcPr>
            <w:tcW w:w="1038" w:type="pct"/>
            <w:shd w:val="clear" w:color="auto" w:fill="auto"/>
            <w:vAlign w:val="center"/>
          </w:tcPr>
          <w:p w14:paraId="7BA7AE05">
            <w:pPr>
              <w:adjustRightInd w:val="0"/>
              <w:snapToGrid w:val="0"/>
              <w:spacing w:after="0" w:line="408" w:lineRule="auto"/>
              <w:rPr>
                <w:rFonts w:hint="eastAsia" w:ascii="仿宋" w:hAnsi="仿宋" w:eastAsia="仿宋" w:cs="仿宋"/>
                <w:snapToGrid w:val="0"/>
                <w:kern w:val="0"/>
                <w:sz w:val="18"/>
              </w:rPr>
            </w:pPr>
          </w:p>
        </w:tc>
      </w:tr>
      <w:tr w14:paraId="5C8A1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962" w:type="pct"/>
            <w:shd w:val="clear" w:color="auto" w:fill="auto"/>
            <w:vAlign w:val="center"/>
          </w:tcPr>
          <w:p w14:paraId="47551864">
            <w:pPr>
              <w:adjustRightInd w:val="0"/>
              <w:snapToGrid w:val="0"/>
              <w:spacing w:after="0" w:line="408" w:lineRule="auto"/>
              <w:rPr>
                <w:rFonts w:hint="eastAsia" w:ascii="仿宋" w:hAnsi="仿宋" w:eastAsia="仿宋" w:cs="仿宋"/>
                <w:snapToGrid w:val="0"/>
                <w:kern w:val="0"/>
                <w:sz w:val="18"/>
              </w:rPr>
            </w:pPr>
            <w:r>
              <w:rPr>
                <w:rFonts w:hint="eastAsia" w:ascii="仿宋" w:hAnsi="仿宋" w:eastAsia="仿宋" w:cs="仿宋"/>
                <w:snapToGrid w:val="0"/>
                <w:kern w:val="0"/>
                <w:sz w:val="18"/>
              </w:rPr>
              <w:t>（5）你对洛江区交警大队的道路安全隐患整治是否感到满意？</w:t>
            </w:r>
          </w:p>
          <w:p w14:paraId="56120397">
            <w:pPr>
              <w:adjustRightInd w:val="0"/>
              <w:snapToGrid w:val="0"/>
              <w:spacing w:after="0" w:line="408" w:lineRule="auto"/>
              <w:rPr>
                <w:rFonts w:hint="eastAsia" w:ascii="仿宋" w:hAnsi="仿宋" w:eastAsia="仿宋" w:cs="仿宋"/>
                <w:snapToGrid w:val="0"/>
                <w:kern w:val="0"/>
                <w:sz w:val="18"/>
              </w:rPr>
            </w:pPr>
            <w:r>
              <w:rPr>
                <w:rFonts w:hint="eastAsia" w:ascii="仿宋" w:hAnsi="仿宋" w:eastAsia="仿宋" w:cs="仿宋"/>
                <w:snapToGrid w:val="0"/>
                <w:kern w:val="0"/>
                <w:sz w:val="18"/>
              </w:rPr>
              <w:t>A：非常满意 B：满意 C：一般 D：不满意</w:t>
            </w:r>
          </w:p>
        </w:tc>
        <w:tc>
          <w:tcPr>
            <w:tcW w:w="1038" w:type="pct"/>
            <w:shd w:val="clear" w:color="auto" w:fill="auto"/>
            <w:vAlign w:val="center"/>
          </w:tcPr>
          <w:p w14:paraId="0C20AC99">
            <w:pPr>
              <w:adjustRightInd w:val="0"/>
              <w:snapToGrid w:val="0"/>
              <w:spacing w:after="0" w:line="408" w:lineRule="auto"/>
              <w:rPr>
                <w:rFonts w:hint="eastAsia" w:ascii="仿宋" w:hAnsi="仿宋" w:eastAsia="仿宋" w:cs="仿宋"/>
                <w:snapToGrid w:val="0"/>
                <w:kern w:val="0"/>
                <w:sz w:val="18"/>
              </w:rPr>
            </w:pPr>
          </w:p>
        </w:tc>
      </w:tr>
    </w:tbl>
    <w:p w14:paraId="747AE68D">
      <w:pPr>
        <w:spacing w:after="0" w:line="408" w:lineRule="auto"/>
        <w:ind w:firstLine="422" w:firstLineChars="200"/>
        <w:rPr>
          <w:rFonts w:hint="eastAsia" w:ascii="仿宋" w:hAnsi="仿宋" w:eastAsia="仿宋"/>
          <w:b/>
          <w:sz w:val="21"/>
          <w:szCs w:val="16"/>
        </w:rPr>
      </w:pPr>
    </w:p>
    <w:p w14:paraId="5308EB15">
      <w:pPr>
        <w:spacing w:after="0" w:line="408" w:lineRule="auto"/>
        <w:ind w:firstLine="422" w:firstLineChars="200"/>
        <w:rPr>
          <w:rFonts w:hint="eastAsia" w:ascii="仿宋" w:hAnsi="仿宋" w:eastAsia="仿宋"/>
          <w:b/>
          <w:sz w:val="21"/>
          <w:szCs w:val="16"/>
          <w:highlight w:val="yellow"/>
        </w:rPr>
      </w:pPr>
    </w:p>
    <w:p w14:paraId="7CF54D82">
      <w:pPr>
        <w:spacing w:after="0" w:line="408" w:lineRule="auto"/>
        <w:ind w:firstLine="422" w:firstLineChars="200"/>
        <w:rPr>
          <w:rFonts w:hint="eastAsia" w:ascii="仿宋" w:hAnsi="仿宋" w:eastAsia="仿宋"/>
          <w:b/>
          <w:sz w:val="21"/>
          <w:szCs w:val="16"/>
          <w:highlight w:val="yellow"/>
        </w:rPr>
      </w:pPr>
    </w:p>
    <w:p w14:paraId="400653A2">
      <w:pPr>
        <w:spacing w:after="0" w:line="408" w:lineRule="auto"/>
        <w:ind w:firstLine="422" w:firstLineChars="200"/>
        <w:rPr>
          <w:rFonts w:hint="eastAsia" w:ascii="仿宋" w:hAnsi="仿宋" w:eastAsia="仿宋"/>
          <w:b/>
          <w:sz w:val="21"/>
          <w:szCs w:val="16"/>
          <w:highlight w:val="yellow"/>
        </w:rPr>
      </w:pPr>
    </w:p>
    <w:p w14:paraId="598DACDB">
      <w:pPr>
        <w:spacing w:after="0" w:line="408" w:lineRule="auto"/>
        <w:ind w:firstLine="422" w:firstLineChars="200"/>
        <w:rPr>
          <w:rFonts w:hint="eastAsia" w:ascii="仿宋" w:hAnsi="仿宋" w:eastAsia="仿宋"/>
          <w:b/>
          <w:sz w:val="21"/>
          <w:szCs w:val="16"/>
          <w:highlight w:val="yellow"/>
        </w:rPr>
      </w:pPr>
    </w:p>
    <w:p w14:paraId="01DC7CBC">
      <w:pPr>
        <w:spacing w:after="0" w:line="408" w:lineRule="auto"/>
        <w:ind w:firstLine="422" w:firstLineChars="200"/>
        <w:rPr>
          <w:rFonts w:hint="eastAsia" w:ascii="仿宋" w:hAnsi="仿宋" w:eastAsia="仿宋"/>
          <w:b/>
          <w:sz w:val="21"/>
          <w:szCs w:val="16"/>
          <w:highlight w:val="yellow"/>
        </w:rPr>
      </w:pPr>
    </w:p>
    <w:p w14:paraId="4B6800DF">
      <w:pPr>
        <w:spacing w:after="0" w:line="408" w:lineRule="auto"/>
        <w:ind w:firstLine="422" w:firstLineChars="200"/>
        <w:rPr>
          <w:rFonts w:hint="eastAsia" w:ascii="仿宋" w:hAnsi="仿宋" w:eastAsia="仿宋"/>
          <w:b/>
          <w:sz w:val="21"/>
          <w:szCs w:val="16"/>
          <w:highlight w:val="yellow"/>
        </w:rPr>
      </w:pPr>
    </w:p>
    <w:p w14:paraId="567F7A11">
      <w:pPr>
        <w:spacing w:after="0" w:line="408" w:lineRule="auto"/>
        <w:ind w:firstLine="422" w:firstLineChars="200"/>
        <w:rPr>
          <w:rFonts w:hint="eastAsia" w:ascii="仿宋" w:hAnsi="仿宋" w:eastAsia="仿宋"/>
          <w:b/>
          <w:sz w:val="21"/>
          <w:szCs w:val="16"/>
          <w:highlight w:val="yellow"/>
        </w:rPr>
      </w:pPr>
    </w:p>
    <w:p w14:paraId="46D838C7">
      <w:pPr>
        <w:spacing w:after="0" w:line="408" w:lineRule="auto"/>
        <w:ind w:firstLine="422" w:firstLineChars="200"/>
        <w:rPr>
          <w:rFonts w:hint="eastAsia" w:ascii="仿宋" w:hAnsi="仿宋" w:eastAsia="仿宋"/>
          <w:b/>
          <w:sz w:val="21"/>
          <w:szCs w:val="16"/>
          <w:highlight w:val="yellow"/>
        </w:rPr>
      </w:pPr>
    </w:p>
    <w:p w14:paraId="69AB643E">
      <w:pPr>
        <w:spacing w:after="0" w:line="408" w:lineRule="auto"/>
        <w:ind w:firstLine="422" w:firstLineChars="200"/>
        <w:outlineLvl w:val="0"/>
        <w:rPr>
          <w:rFonts w:hint="eastAsia" w:ascii="仿宋" w:hAnsi="仿宋" w:eastAsia="仿宋"/>
          <w:b/>
          <w:sz w:val="21"/>
          <w:szCs w:val="16"/>
        </w:rPr>
      </w:pPr>
      <w:bookmarkStart w:id="60" w:name="_Toc182865241"/>
      <w:r>
        <w:rPr>
          <w:rFonts w:hint="eastAsia" w:ascii="仿宋" w:hAnsi="仿宋" w:eastAsia="仿宋"/>
          <w:b/>
          <w:sz w:val="21"/>
          <w:szCs w:val="16"/>
        </w:rPr>
        <w:t>附件二：访谈相关照片</w:t>
      </w:r>
      <w:bookmarkEnd w:id="60"/>
    </w:p>
    <w:p w14:paraId="0F7FA796">
      <w:pPr>
        <w:spacing w:after="0" w:line="408" w:lineRule="auto"/>
        <w:ind w:firstLine="440" w:firstLineChars="200"/>
        <w:jc w:val="both"/>
        <w:rPr>
          <w:rFonts w:hint="eastAsia" w:ascii="仿宋" w:hAnsi="仿宋" w:eastAsia="仿宋"/>
          <w:sz w:val="28"/>
          <w:szCs w:val="21"/>
        </w:rPr>
      </w:pPr>
      <w:r>
        <w:drawing>
          <wp:inline distT="0" distB="0" distL="0" distR="0">
            <wp:extent cx="2645410" cy="1979930"/>
            <wp:effectExtent l="0" t="0" r="2540" b="1270"/>
            <wp:docPr id="12940903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090347"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646000" cy="1980000"/>
                    </a:xfrm>
                    <a:prstGeom prst="rect">
                      <a:avLst/>
                    </a:prstGeom>
                    <a:noFill/>
                    <a:ln>
                      <a:noFill/>
                    </a:ln>
                  </pic:spPr>
                </pic:pic>
              </a:graphicData>
            </a:graphic>
          </wp:inline>
        </w:drawing>
      </w:r>
      <w:r>
        <w:rPr>
          <w:rFonts w:hint="eastAsia" w:ascii="仿宋" w:hAnsi="仿宋" w:eastAsia="仿宋"/>
          <w:sz w:val="28"/>
          <w:szCs w:val="21"/>
        </w:rPr>
        <w:t xml:space="preserve">  </w:t>
      </w:r>
      <w:r>
        <w:drawing>
          <wp:inline distT="0" distB="0" distL="0" distR="0">
            <wp:extent cx="2519680" cy="1979930"/>
            <wp:effectExtent l="0" t="0" r="0" b="1270"/>
            <wp:docPr id="7276184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618418" name="图片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520000" cy="1980000"/>
                    </a:xfrm>
                    <a:prstGeom prst="rect">
                      <a:avLst/>
                    </a:prstGeom>
                    <a:noFill/>
                    <a:ln>
                      <a:noFill/>
                    </a:ln>
                  </pic:spPr>
                </pic:pic>
              </a:graphicData>
            </a:graphic>
          </wp:inline>
        </w:drawing>
      </w:r>
    </w:p>
    <w:p w14:paraId="51D74D9B">
      <w:pPr>
        <w:spacing w:after="0" w:line="408" w:lineRule="auto"/>
        <w:ind w:firstLine="560" w:firstLineChars="200"/>
        <w:jc w:val="both"/>
        <w:rPr>
          <w:rFonts w:hint="eastAsia" w:ascii="仿宋" w:hAnsi="仿宋" w:eastAsia="仿宋"/>
          <w:sz w:val="28"/>
          <w:szCs w:val="21"/>
        </w:rPr>
      </w:pPr>
    </w:p>
    <w:p w14:paraId="6DE84C33">
      <w:pPr>
        <w:spacing w:after="0" w:line="408" w:lineRule="auto"/>
        <w:ind w:firstLine="440" w:firstLineChars="200"/>
        <w:jc w:val="both"/>
        <w:rPr>
          <w:rFonts w:hint="eastAsia" w:ascii="仿宋" w:hAnsi="仿宋" w:eastAsia="仿宋"/>
          <w:sz w:val="28"/>
          <w:szCs w:val="21"/>
        </w:rPr>
      </w:pPr>
      <w:r>
        <w:drawing>
          <wp:inline distT="0" distB="0" distL="0" distR="0">
            <wp:extent cx="2638425" cy="1979930"/>
            <wp:effectExtent l="0" t="0" r="9525" b="1270"/>
            <wp:docPr id="10477599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759912" name="图片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638800" cy="1980000"/>
                    </a:xfrm>
                    <a:prstGeom prst="rect">
                      <a:avLst/>
                    </a:prstGeom>
                    <a:noFill/>
                    <a:ln>
                      <a:noFill/>
                    </a:ln>
                  </pic:spPr>
                </pic:pic>
              </a:graphicData>
            </a:graphic>
          </wp:inline>
        </w:drawing>
      </w:r>
      <w:r>
        <w:rPr>
          <w:rFonts w:hint="eastAsia" w:ascii="仿宋" w:hAnsi="仿宋" w:eastAsia="仿宋"/>
          <w:sz w:val="28"/>
        </w:rPr>
        <w:t xml:space="preserve">  </w:t>
      </w:r>
      <w:r>
        <w:drawing>
          <wp:inline distT="0" distB="0" distL="0" distR="0">
            <wp:extent cx="2638425" cy="1979930"/>
            <wp:effectExtent l="0" t="0" r="9525" b="1270"/>
            <wp:docPr id="198009867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098676" name="图片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638800" cy="1980000"/>
                    </a:xfrm>
                    <a:prstGeom prst="rect">
                      <a:avLst/>
                    </a:prstGeom>
                    <a:noFill/>
                    <a:ln>
                      <a:noFill/>
                    </a:ln>
                  </pic:spPr>
                </pic:pic>
              </a:graphicData>
            </a:graphic>
          </wp:inline>
        </w:drawing>
      </w:r>
    </w:p>
    <w:p w14:paraId="655ACED6">
      <w:pPr>
        <w:spacing w:after="0" w:line="408" w:lineRule="auto"/>
        <w:ind w:firstLine="560" w:firstLineChars="200"/>
        <w:jc w:val="both"/>
        <w:rPr>
          <w:rFonts w:hint="eastAsia" w:ascii="仿宋" w:hAnsi="仿宋" w:eastAsia="仿宋"/>
          <w:sz w:val="28"/>
          <w:szCs w:val="21"/>
        </w:rPr>
      </w:pPr>
    </w:p>
    <w:p w14:paraId="77956D54">
      <w:pPr>
        <w:spacing w:after="0" w:line="408" w:lineRule="auto"/>
        <w:ind w:firstLine="440" w:firstLineChars="200"/>
        <w:jc w:val="both"/>
        <w:rPr>
          <w:rFonts w:hint="eastAsia" w:ascii="仿宋" w:hAnsi="仿宋" w:eastAsia="仿宋"/>
          <w:sz w:val="28"/>
          <w:szCs w:val="21"/>
        </w:rPr>
      </w:pPr>
      <w:r>
        <w:drawing>
          <wp:inline distT="0" distB="0" distL="0" distR="0">
            <wp:extent cx="2638425" cy="1979930"/>
            <wp:effectExtent l="0" t="0" r="9525" b="1270"/>
            <wp:docPr id="58535877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358776" name="图片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638800" cy="1980000"/>
                    </a:xfrm>
                    <a:prstGeom prst="rect">
                      <a:avLst/>
                    </a:prstGeom>
                    <a:noFill/>
                    <a:ln>
                      <a:noFill/>
                    </a:ln>
                  </pic:spPr>
                </pic:pic>
              </a:graphicData>
            </a:graphic>
          </wp:inline>
        </w:drawing>
      </w:r>
      <w:r>
        <w:rPr>
          <w:rFonts w:hint="eastAsia" w:ascii="仿宋" w:hAnsi="仿宋" w:eastAsia="仿宋"/>
          <w:sz w:val="28"/>
        </w:rPr>
        <w:t xml:space="preserve">  </w:t>
      </w:r>
      <w:r>
        <w:drawing>
          <wp:inline distT="0" distB="0" distL="0" distR="0">
            <wp:extent cx="2638425" cy="1979930"/>
            <wp:effectExtent l="0" t="0" r="9525" b="1270"/>
            <wp:docPr id="172858450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584504" name="图片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flipH="1">
                      <a:off x="0" y="0"/>
                      <a:ext cx="2638800" cy="1980000"/>
                    </a:xfrm>
                    <a:prstGeom prst="rect">
                      <a:avLst/>
                    </a:prstGeom>
                    <a:noFill/>
                    <a:ln>
                      <a:noFill/>
                    </a:ln>
                  </pic:spPr>
                </pic:pic>
              </a:graphicData>
            </a:graphic>
          </wp:inline>
        </w:drawing>
      </w:r>
    </w:p>
    <w:p w14:paraId="71720A00">
      <w:pPr>
        <w:spacing w:after="0" w:line="408" w:lineRule="auto"/>
        <w:ind w:firstLine="562" w:firstLineChars="200"/>
        <w:rPr>
          <w:rFonts w:hint="eastAsia" w:ascii="仿宋" w:hAnsi="仿宋" w:eastAsia="仿宋"/>
          <w:b/>
          <w:sz w:val="28"/>
          <w:szCs w:val="21"/>
        </w:rPr>
      </w:pPr>
    </w:p>
    <w:p w14:paraId="20FAA4D1">
      <w:pPr>
        <w:spacing w:after="0" w:line="408" w:lineRule="auto"/>
        <w:ind w:firstLine="562" w:firstLineChars="200"/>
        <w:rPr>
          <w:rFonts w:hint="eastAsia" w:ascii="仿宋" w:hAnsi="仿宋" w:eastAsia="仿宋"/>
          <w:b/>
          <w:sz w:val="28"/>
          <w:szCs w:val="21"/>
          <w:highlight w:val="yellow"/>
        </w:rPr>
      </w:pPr>
    </w:p>
    <w:p w14:paraId="1EE28F9B">
      <w:pPr>
        <w:spacing w:after="0" w:line="408" w:lineRule="auto"/>
        <w:ind w:firstLine="562" w:firstLineChars="200"/>
        <w:rPr>
          <w:rFonts w:hint="eastAsia" w:ascii="仿宋" w:hAnsi="仿宋" w:eastAsia="仿宋"/>
          <w:b/>
          <w:sz w:val="28"/>
          <w:szCs w:val="21"/>
          <w:highlight w:val="yellow"/>
        </w:rPr>
      </w:pPr>
    </w:p>
    <w:p w14:paraId="3364FA92">
      <w:pPr>
        <w:spacing w:after="0" w:line="408" w:lineRule="auto"/>
        <w:ind w:firstLine="422" w:firstLineChars="200"/>
        <w:outlineLvl w:val="0"/>
        <w:rPr>
          <w:rFonts w:hint="eastAsia" w:ascii="仿宋" w:hAnsi="仿宋" w:eastAsia="仿宋"/>
          <w:b/>
          <w:sz w:val="21"/>
          <w:szCs w:val="16"/>
        </w:rPr>
      </w:pPr>
      <w:bookmarkStart w:id="61" w:name="_Toc182865242"/>
      <w:r>
        <w:rPr>
          <w:rFonts w:hint="eastAsia" w:ascii="仿宋" w:hAnsi="仿宋" w:eastAsia="仿宋"/>
          <w:b/>
          <w:sz w:val="21"/>
          <w:szCs w:val="16"/>
        </w:rPr>
        <w:t>附件二：绩效评价指标体系及得分情况表</w:t>
      </w:r>
      <w:bookmarkEnd w:id="61"/>
    </w:p>
    <w:tbl>
      <w:tblPr>
        <w:tblStyle w:val="9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6"/>
        <w:gridCol w:w="1594"/>
        <w:gridCol w:w="1518"/>
        <w:gridCol w:w="1975"/>
        <w:gridCol w:w="2871"/>
        <w:gridCol w:w="461"/>
        <w:gridCol w:w="459"/>
      </w:tblGrid>
      <w:tr w14:paraId="1AEFA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95" w:type="pct"/>
            <w:shd w:val="clear" w:color="auto" w:fill="D8D8D8" w:themeFill="background1" w:themeFillShade="D9"/>
            <w:vAlign w:val="center"/>
          </w:tcPr>
          <w:p w14:paraId="2AFDE320">
            <w:pPr>
              <w:adjustRightInd w:val="0"/>
              <w:snapToGrid w:val="0"/>
              <w:spacing w:after="0" w:line="408" w:lineRule="auto"/>
              <w:jc w:val="center"/>
              <w:rPr>
                <w:rFonts w:hint="eastAsia" w:ascii="仿宋" w:hAnsi="仿宋" w:eastAsia="仿宋"/>
                <w:b/>
                <w:snapToGrid w:val="0"/>
                <w:kern w:val="0"/>
                <w:sz w:val="18"/>
                <w:szCs w:val="21"/>
              </w:rPr>
            </w:pPr>
            <w:r>
              <w:rPr>
                <w:rFonts w:hint="eastAsia" w:ascii="仿宋" w:hAnsi="仿宋" w:eastAsia="仿宋"/>
                <w:b/>
                <w:snapToGrid w:val="0"/>
                <w:kern w:val="0"/>
                <w:sz w:val="18"/>
                <w:szCs w:val="21"/>
              </w:rPr>
              <w:t>一级指标</w:t>
            </w:r>
          </w:p>
        </w:tc>
        <w:tc>
          <w:tcPr>
            <w:tcW w:w="809" w:type="pct"/>
            <w:shd w:val="clear" w:color="auto" w:fill="D8D8D8" w:themeFill="background1" w:themeFillShade="D9"/>
            <w:vAlign w:val="center"/>
          </w:tcPr>
          <w:p w14:paraId="68FF1199">
            <w:pPr>
              <w:adjustRightInd w:val="0"/>
              <w:snapToGrid w:val="0"/>
              <w:spacing w:after="0" w:line="408" w:lineRule="auto"/>
              <w:jc w:val="center"/>
              <w:rPr>
                <w:rFonts w:hint="eastAsia" w:ascii="仿宋" w:hAnsi="仿宋" w:eastAsia="仿宋"/>
                <w:b/>
                <w:snapToGrid w:val="0"/>
                <w:kern w:val="0"/>
                <w:sz w:val="18"/>
                <w:szCs w:val="21"/>
              </w:rPr>
            </w:pPr>
            <w:r>
              <w:rPr>
                <w:rFonts w:hint="eastAsia" w:ascii="仿宋" w:hAnsi="仿宋" w:eastAsia="仿宋"/>
                <w:b/>
                <w:snapToGrid w:val="0"/>
                <w:kern w:val="0"/>
                <w:sz w:val="18"/>
                <w:szCs w:val="21"/>
              </w:rPr>
              <w:t>二级指标</w:t>
            </w:r>
          </w:p>
        </w:tc>
        <w:tc>
          <w:tcPr>
            <w:tcW w:w="770" w:type="pct"/>
            <w:shd w:val="clear" w:color="auto" w:fill="D8D8D8" w:themeFill="background1" w:themeFillShade="D9"/>
            <w:vAlign w:val="center"/>
          </w:tcPr>
          <w:p w14:paraId="1C5305A8">
            <w:pPr>
              <w:adjustRightInd w:val="0"/>
              <w:snapToGrid w:val="0"/>
              <w:spacing w:after="0" w:line="408" w:lineRule="auto"/>
              <w:jc w:val="center"/>
              <w:rPr>
                <w:rFonts w:hint="eastAsia" w:ascii="仿宋" w:hAnsi="仿宋" w:eastAsia="仿宋"/>
                <w:b/>
                <w:snapToGrid w:val="0"/>
                <w:kern w:val="0"/>
                <w:sz w:val="18"/>
                <w:szCs w:val="21"/>
              </w:rPr>
            </w:pPr>
            <w:r>
              <w:rPr>
                <w:rFonts w:hint="eastAsia" w:ascii="仿宋" w:hAnsi="仿宋" w:eastAsia="仿宋"/>
                <w:b/>
                <w:snapToGrid w:val="0"/>
                <w:kern w:val="0"/>
                <w:sz w:val="18"/>
                <w:szCs w:val="21"/>
              </w:rPr>
              <w:t>三级指标</w:t>
            </w:r>
          </w:p>
        </w:tc>
        <w:tc>
          <w:tcPr>
            <w:tcW w:w="1002" w:type="pct"/>
            <w:shd w:val="clear" w:color="auto" w:fill="D8D8D8" w:themeFill="background1" w:themeFillShade="D9"/>
            <w:vAlign w:val="center"/>
          </w:tcPr>
          <w:p w14:paraId="380CC729">
            <w:pPr>
              <w:adjustRightInd w:val="0"/>
              <w:snapToGrid w:val="0"/>
              <w:spacing w:after="0" w:line="408" w:lineRule="auto"/>
              <w:jc w:val="center"/>
              <w:rPr>
                <w:rFonts w:hint="eastAsia" w:ascii="仿宋" w:hAnsi="仿宋" w:eastAsia="仿宋"/>
                <w:b/>
                <w:snapToGrid w:val="0"/>
                <w:kern w:val="0"/>
                <w:sz w:val="18"/>
                <w:szCs w:val="21"/>
              </w:rPr>
            </w:pPr>
            <w:r>
              <w:rPr>
                <w:rFonts w:hint="eastAsia" w:ascii="仿宋" w:hAnsi="仿宋" w:eastAsia="仿宋"/>
                <w:b/>
                <w:snapToGrid w:val="0"/>
                <w:kern w:val="0"/>
                <w:sz w:val="18"/>
                <w:szCs w:val="21"/>
              </w:rPr>
              <w:t>指标解释</w:t>
            </w:r>
          </w:p>
        </w:tc>
        <w:tc>
          <w:tcPr>
            <w:tcW w:w="1457" w:type="pct"/>
            <w:shd w:val="clear" w:color="auto" w:fill="D8D8D8" w:themeFill="background1" w:themeFillShade="D9"/>
            <w:vAlign w:val="center"/>
          </w:tcPr>
          <w:p w14:paraId="5D415486">
            <w:pPr>
              <w:adjustRightInd w:val="0"/>
              <w:snapToGrid w:val="0"/>
              <w:spacing w:after="0" w:line="408" w:lineRule="auto"/>
              <w:jc w:val="center"/>
              <w:rPr>
                <w:rFonts w:hint="eastAsia" w:ascii="仿宋" w:hAnsi="仿宋" w:eastAsia="仿宋"/>
                <w:b/>
                <w:snapToGrid w:val="0"/>
                <w:kern w:val="0"/>
                <w:sz w:val="18"/>
                <w:szCs w:val="21"/>
              </w:rPr>
            </w:pPr>
            <w:r>
              <w:rPr>
                <w:rFonts w:hint="eastAsia" w:ascii="仿宋" w:hAnsi="仿宋" w:eastAsia="仿宋"/>
                <w:b/>
                <w:snapToGrid w:val="0"/>
                <w:kern w:val="0"/>
                <w:sz w:val="18"/>
                <w:szCs w:val="21"/>
              </w:rPr>
              <w:t>评分标准</w:t>
            </w:r>
          </w:p>
        </w:tc>
        <w:tc>
          <w:tcPr>
            <w:tcW w:w="234" w:type="pct"/>
            <w:shd w:val="clear" w:color="auto" w:fill="D8D8D8" w:themeFill="background1" w:themeFillShade="D9"/>
            <w:vAlign w:val="center"/>
          </w:tcPr>
          <w:p w14:paraId="2E547059">
            <w:pPr>
              <w:adjustRightInd w:val="0"/>
              <w:snapToGrid w:val="0"/>
              <w:spacing w:after="0" w:line="408" w:lineRule="auto"/>
              <w:jc w:val="center"/>
              <w:rPr>
                <w:rFonts w:hint="eastAsia" w:ascii="仿宋" w:hAnsi="仿宋" w:eastAsia="仿宋"/>
                <w:b/>
                <w:snapToGrid w:val="0"/>
                <w:kern w:val="0"/>
                <w:sz w:val="18"/>
                <w:szCs w:val="21"/>
              </w:rPr>
            </w:pPr>
            <w:r>
              <w:rPr>
                <w:rFonts w:hint="eastAsia" w:ascii="仿宋" w:hAnsi="仿宋" w:eastAsia="仿宋"/>
                <w:b/>
                <w:snapToGrid w:val="0"/>
                <w:kern w:val="0"/>
                <w:sz w:val="18"/>
                <w:szCs w:val="21"/>
              </w:rPr>
              <w:t>分值</w:t>
            </w:r>
          </w:p>
        </w:tc>
        <w:tc>
          <w:tcPr>
            <w:tcW w:w="233" w:type="pct"/>
            <w:shd w:val="clear" w:color="auto" w:fill="D8D8D8" w:themeFill="background1" w:themeFillShade="D9"/>
            <w:vAlign w:val="center"/>
          </w:tcPr>
          <w:p w14:paraId="7866CDBC">
            <w:pPr>
              <w:adjustRightInd w:val="0"/>
              <w:snapToGrid w:val="0"/>
              <w:spacing w:after="0" w:line="408" w:lineRule="auto"/>
              <w:jc w:val="center"/>
              <w:rPr>
                <w:rFonts w:hint="eastAsia" w:ascii="仿宋" w:hAnsi="仿宋" w:eastAsia="仿宋"/>
                <w:b/>
                <w:snapToGrid w:val="0"/>
                <w:kern w:val="0"/>
                <w:sz w:val="18"/>
                <w:szCs w:val="21"/>
              </w:rPr>
            </w:pPr>
            <w:r>
              <w:rPr>
                <w:rFonts w:hint="eastAsia" w:ascii="仿宋" w:hAnsi="仿宋" w:eastAsia="仿宋"/>
                <w:b/>
                <w:snapToGrid w:val="0"/>
                <w:kern w:val="0"/>
                <w:sz w:val="18"/>
                <w:szCs w:val="21"/>
              </w:rPr>
              <w:t>得分</w:t>
            </w:r>
          </w:p>
        </w:tc>
      </w:tr>
      <w:tr w14:paraId="78851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95" w:type="pct"/>
            <w:vMerge w:val="restart"/>
            <w:shd w:val="clear" w:color="auto" w:fill="auto"/>
            <w:vAlign w:val="center"/>
          </w:tcPr>
          <w:p w14:paraId="7839D186">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决策(16%）</w:t>
            </w:r>
          </w:p>
        </w:tc>
        <w:tc>
          <w:tcPr>
            <w:tcW w:w="809" w:type="pct"/>
            <w:vMerge w:val="restart"/>
            <w:shd w:val="clear" w:color="auto" w:fill="auto"/>
            <w:vAlign w:val="center"/>
          </w:tcPr>
          <w:p w14:paraId="5D27FFDC">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项目立项（6分）</w:t>
            </w:r>
          </w:p>
        </w:tc>
        <w:tc>
          <w:tcPr>
            <w:tcW w:w="770" w:type="pct"/>
            <w:shd w:val="clear" w:color="auto" w:fill="auto"/>
            <w:vAlign w:val="center"/>
          </w:tcPr>
          <w:p w14:paraId="628F8757">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立项依据充分性（3分）</w:t>
            </w:r>
          </w:p>
        </w:tc>
        <w:tc>
          <w:tcPr>
            <w:tcW w:w="1002" w:type="pct"/>
            <w:shd w:val="clear" w:color="auto" w:fill="auto"/>
            <w:vAlign w:val="center"/>
          </w:tcPr>
          <w:p w14:paraId="37480E71">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项目立项是否符合法律法规、相关政策、发展规划以及部门职责，用以反映和考核项目立项依据情况。</w:t>
            </w:r>
          </w:p>
        </w:tc>
        <w:tc>
          <w:tcPr>
            <w:tcW w:w="1457" w:type="pct"/>
            <w:shd w:val="clear" w:color="auto" w:fill="auto"/>
            <w:vAlign w:val="center"/>
          </w:tcPr>
          <w:p w14:paraId="625EC5DD">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评价要点：</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①项目立项是否符合国家法律法规、国民经济发展规划和相关政策；</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②项目立项是否符合行业发展规划和政策要求；</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③项目立项是否与部门职责范围相符，属于部门履职所需；</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④项目是否属于公共财政支持范围，是否符合中央、地方事权支出责任划分原则；</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⑤项目是否与相关部门同类项目或部门内部相关项目重复。</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一项不符扣0.6分，扣完为止。</w:t>
            </w:r>
          </w:p>
        </w:tc>
        <w:tc>
          <w:tcPr>
            <w:tcW w:w="234" w:type="pct"/>
            <w:shd w:val="clear" w:color="auto" w:fill="auto"/>
            <w:vAlign w:val="center"/>
          </w:tcPr>
          <w:p w14:paraId="68D98DB1">
            <w:pPr>
              <w:adjustRightInd w:val="0"/>
              <w:snapToGrid w:val="0"/>
              <w:spacing w:after="0" w:line="408" w:lineRule="auto"/>
              <w:jc w:val="right"/>
              <w:rPr>
                <w:rFonts w:hint="eastAsia" w:ascii="仿宋" w:hAnsi="仿宋" w:eastAsia="仿宋"/>
                <w:bCs/>
                <w:snapToGrid w:val="0"/>
                <w:kern w:val="0"/>
                <w:sz w:val="18"/>
                <w:szCs w:val="21"/>
              </w:rPr>
            </w:pPr>
            <w:r>
              <w:rPr>
                <w:rFonts w:hint="eastAsia" w:ascii="仿宋" w:hAnsi="仿宋" w:eastAsia="仿宋"/>
                <w:bCs/>
                <w:snapToGrid w:val="0"/>
                <w:kern w:val="0"/>
                <w:sz w:val="18"/>
                <w:szCs w:val="21"/>
              </w:rPr>
              <w:t>3</w:t>
            </w:r>
          </w:p>
        </w:tc>
        <w:tc>
          <w:tcPr>
            <w:tcW w:w="233" w:type="pct"/>
            <w:shd w:val="clear" w:color="auto" w:fill="auto"/>
            <w:vAlign w:val="center"/>
          </w:tcPr>
          <w:p w14:paraId="7D1DBA68">
            <w:pPr>
              <w:adjustRightInd w:val="0"/>
              <w:snapToGrid w:val="0"/>
              <w:spacing w:after="0" w:line="408" w:lineRule="auto"/>
              <w:jc w:val="right"/>
              <w:rPr>
                <w:rFonts w:hint="eastAsia" w:ascii="仿宋" w:hAnsi="仿宋" w:eastAsia="仿宋"/>
                <w:bCs/>
                <w:snapToGrid w:val="0"/>
                <w:kern w:val="0"/>
                <w:sz w:val="18"/>
                <w:szCs w:val="21"/>
              </w:rPr>
            </w:pPr>
            <w:r>
              <w:rPr>
                <w:rFonts w:hint="eastAsia" w:ascii="仿宋" w:hAnsi="仿宋" w:eastAsia="仿宋"/>
                <w:bCs/>
                <w:snapToGrid w:val="0"/>
                <w:kern w:val="0"/>
                <w:sz w:val="18"/>
                <w:szCs w:val="21"/>
              </w:rPr>
              <w:t>3</w:t>
            </w:r>
          </w:p>
        </w:tc>
      </w:tr>
      <w:tr w14:paraId="330BD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95" w:type="pct"/>
            <w:vMerge w:val="continue"/>
            <w:shd w:val="clear" w:color="auto" w:fill="auto"/>
            <w:vAlign w:val="center"/>
          </w:tcPr>
          <w:p w14:paraId="5B443FDE">
            <w:pPr>
              <w:adjustRightInd w:val="0"/>
              <w:snapToGrid w:val="0"/>
              <w:spacing w:after="0" w:line="408" w:lineRule="auto"/>
              <w:jc w:val="center"/>
              <w:rPr>
                <w:rFonts w:hint="eastAsia" w:ascii="仿宋" w:hAnsi="仿宋" w:eastAsia="仿宋"/>
                <w:bCs/>
                <w:snapToGrid w:val="0"/>
                <w:kern w:val="0"/>
                <w:sz w:val="18"/>
                <w:szCs w:val="21"/>
              </w:rPr>
            </w:pPr>
          </w:p>
        </w:tc>
        <w:tc>
          <w:tcPr>
            <w:tcW w:w="809" w:type="pct"/>
            <w:vMerge w:val="continue"/>
            <w:shd w:val="clear" w:color="auto" w:fill="auto"/>
            <w:vAlign w:val="center"/>
          </w:tcPr>
          <w:p w14:paraId="64530B9A">
            <w:pPr>
              <w:adjustRightInd w:val="0"/>
              <w:snapToGrid w:val="0"/>
              <w:spacing w:after="0" w:line="408" w:lineRule="auto"/>
              <w:jc w:val="center"/>
              <w:rPr>
                <w:rFonts w:hint="eastAsia" w:ascii="仿宋" w:hAnsi="仿宋" w:eastAsia="仿宋"/>
                <w:bCs/>
                <w:snapToGrid w:val="0"/>
                <w:kern w:val="0"/>
                <w:sz w:val="18"/>
                <w:szCs w:val="21"/>
              </w:rPr>
            </w:pPr>
          </w:p>
        </w:tc>
        <w:tc>
          <w:tcPr>
            <w:tcW w:w="770" w:type="pct"/>
            <w:shd w:val="clear" w:color="auto" w:fill="auto"/>
            <w:vAlign w:val="center"/>
          </w:tcPr>
          <w:p w14:paraId="60F0F89F">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立项程序规范性（3分）</w:t>
            </w:r>
          </w:p>
        </w:tc>
        <w:tc>
          <w:tcPr>
            <w:tcW w:w="1002" w:type="pct"/>
            <w:shd w:val="clear" w:color="auto" w:fill="auto"/>
            <w:vAlign w:val="center"/>
          </w:tcPr>
          <w:p w14:paraId="177ED843">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项目申请、设立过程是否符合相关要求，用以反映和考核项目立项的规范情况。</w:t>
            </w:r>
          </w:p>
        </w:tc>
        <w:tc>
          <w:tcPr>
            <w:tcW w:w="1457" w:type="pct"/>
            <w:shd w:val="clear" w:color="auto" w:fill="auto"/>
            <w:vAlign w:val="center"/>
          </w:tcPr>
          <w:p w14:paraId="783B3669">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评价要点：</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①项目是否按照规定的程序申请设立；</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②审批文件、材料是否符合相关要求；</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③事前是否已经过必要的可行性研究、专家论证、风险评估、绩效评估、集体决策。</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一项不符扣1分，扣完为止。</w:t>
            </w:r>
          </w:p>
        </w:tc>
        <w:tc>
          <w:tcPr>
            <w:tcW w:w="234" w:type="pct"/>
            <w:shd w:val="clear" w:color="auto" w:fill="auto"/>
            <w:vAlign w:val="center"/>
          </w:tcPr>
          <w:p w14:paraId="12A36391">
            <w:pPr>
              <w:adjustRightInd w:val="0"/>
              <w:snapToGrid w:val="0"/>
              <w:spacing w:after="0" w:line="408" w:lineRule="auto"/>
              <w:jc w:val="right"/>
              <w:rPr>
                <w:rFonts w:hint="eastAsia" w:ascii="仿宋" w:hAnsi="仿宋" w:eastAsia="仿宋"/>
                <w:bCs/>
                <w:snapToGrid w:val="0"/>
                <w:kern w:val="0"/>
                <w:sz w:val="18"/>
                <w:szCs w:val="21"/>
              </w:rPr>
            </w:pPr>
            <w:r>
              <w:rPr>
                <w:rFonts w:hint="eastAsia" w:ascii="仿宋" w:hAnsi="仿宋" w:eastAsia="仿宋"/>
                <w:bCs/>
                <w:snapToGrid w:val="0"/>
                <w:kern w:val="0"/>
                <w:sz w:val="18"/>
                <w:szCs w:val="21"/>
              </w:rPr>
              <w:t>3</w:t>
            </w:r>
          </w:p>
        </w:tc>
        <w:tc>
          <w:tcPr>
            <w:tcW w:w="233" w:type="pct"/>
            <w:shd w:val="clear" w:color="auto" w:fill="auto"/>
            <w:vAlign w:val="center"/>
          </w:tcPr>
          <w:p w14:paraId="212F6A40">
            <w:pPr>
              <w:adjustRightInd w:val="0"/>
              <w:snapToGrid w:val="0"/>
              <w:spacing w:after="0" w:line="408" w:lineRule="auto"/>
              <w:jc w:val="right"/>
              <w:rPr>
                <w:rFonts w:hint="eastAsia" w:ascii="仿宋" w:hAnsi="仿宋" w:eastAsia="仿宋"/>
                <w:bCs/>
                <w:snapToGrid w:val="0"/>
                <w:kern w:val="0"/>
                <w:sz w:val="18"/>
                <w:szCs w:val="21"/>
              </w:rPr>
            </w:pPr>
            <w:r>
              <w:rPr>
                <w:rFonts w:hint="eastAsia" w:ascii="仿宋" w:hAnsi="仿宋" w:eastAsia="仿宋"/>
                <w:bCs/>
                <w:snapToGrid w:val="0"/>
                <w:kern w:val="0"/>
                <w:sz w:val="18"/>
                <w:szCs w:val="21"/>
              </w:rPr>
              <w:t>3</w:t>
            </w:r>
          </w:p>
        </w:tc>
      </w:tr>
      <w:tr w14:paraId="7B92D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95" w:type="pct"/>
            <w:vMerge w:val="continue"/>
            <w:shd w:val="clear" w:color="auto" w:fill="auto"/>
            <w:vAlign w:val="center"/>
          </w:tcPr>
          <w:p w14:paraId="13F8392B">
            <w:pPr>
              <w:adjustRightInd w:val="0"/>
              <w:snapToGrid w:val="0"/>
              <w:spacing w:after="0" w:line="408" w:lineRule="auto"/>
              <w:jc w:val="center"/>
              <w:rPr>
                <w:rFonts w:hint="eastAsia" w:ascii="仿宋" w:hAnsi="仿宋" w:eastAsia="仿宋"/>
                <w:bCs/>
                <w:snapToGrid w:val="0"/>
                <w:kern w:val="0"/>
                <w:sz w:val="18"/>
                <w:szCs w:val="21"/>
              </w:rPr>
            </w:pPr>
          </w:p>
        </w:tc>
        <w:tc>
          <w:tcPr>
            <w:tcW w:w="809" w:type="pct"/>
            <w:vMerge w:val="restart"/>
            <w:shd w:val="clear" w:color="auto" w:fill="auto"/>
            <w:vAlign w:val="center"/>
          </w:tcPr>
          <w:p w14:paraId="34B5F4B3">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绩效目标（6分）</w:t>
            </w:r>
          </w:p>
        </w:tc>
        <w:tc>
          <w:tcPr>
            <w:tcW w:w="770" w:type="pct"/>
            <w:shd w:val="clear" w:color="auto" w:fill="auto"/>
            <w:vAlign w:val="center"/>
          </w:tcPr>
          <w:p w14:paraId="437934D8">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绩效目标合理性（3分）</w:t>
            </w:r>
          </w:p>
        </w:tc>
        <w:tc>
          <w:tcPr>
            <w:tcW w:w="1002" w:type="pct"/>
            <w:shd w:val="clear" w:color="auto" w:fill="auto"/>
            <w:vAlign w:val="center"/>
          </w:tcPr>
          <w:p w14:paraId="1BED16B1">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项目所设定的绩效目标是否依据充分，是否符合客观实际，用以反映和考核项目绩效目标与项目实施的相符情况。</w:t>
            </w:r>
          </w:p>
        </w:tc>
        <w:tc>
          <w:tcPr>
            <w:tcW w:w="1457" w:type="pct"/>
            <w:shd w:val="clear" w:color="auto" w:fill="auto"/>
            <w:vAlign w:val="center"/>
          </w:tcPr>
          <w:p w14:paraId="718C3E11">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评价要点：</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①项目是否有绩效目标；</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②项目绩效目标与实际工作内容是否具有相关性；</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③项目预期产出效益和效果是否符合正常的业绩水平；</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④是否与预算确定的项目投资额或资金量相匹配。</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一项不符扣1分，扣完为止。</w:t>
            </w:r>
          </w:p>
        </w:tc>
        <w:tc>
          <w:tcPr>
            <w:tcW w:w="234" w:type="pct"/>
            <w:shd w:val="clear" w:color="auto" w:fill="auto"/>
            <w:vAlign w:val="center"/>
          </w:tcPr>
          <w:p w14:paraId="2C36141A">
            <w:pPr>
              <w:adjustRightInd w:val="0"/>
              <w:snapToGrid w:val="0"/>
              <w:spacing w:after="0" w:line="408" w:lineRule="auto"/>
              <w:jc w:val="right"/>
              <w:rPr>
                <w:rFonts w:hint="eastAsia" w:ascii="仿宋" w:hAnsi="仿宋" w:eastAsia="仿宋"/>
                <w:bCs/>
                <w:snapToGrid w:val="0"/>
                <w:kern w:val="0"/>
                <w:sz w:val="18"/>
                <w:szCs w:val="21"/>
              </w:rPr>
            </w:pPr>
            <w:r>
              <w:rPr>
                <w:rFonts w:hint="eastAsia" w:ascii="仿宋" w:hAnsi="仿宋" w:eastAsia="仿宋"/>
                <w:bCs/>
                <w:snapToGrid w:val="0"/>
                <w:kern w:val="0"/>
                <w:sz w:val="18"/>
                <w:szCs w:val="21"/>
              </w:rPr>
              <w:t>3</w:t>
            </w:r>
          </w:p>
        </w:tc>
        <w:tc>
          <w:tcPr>
            <w:tcW w:w="233" w:type="pct"/>
            <w:shd w:val="clear" w:color="auto" w:fill="auto"/>
            <w:vAlign w:val="center"/>
          </w:tcPr>
          <w:p w14:paraId="31AE0216">
            <w:pPr>
              <w:adjustRightInd w:val="0"/>
              <w:snapToGrid w:val="0"/>
              <w:spacing w:after="0" w:line="408" w:lineRule="auto"/>
              <w:jc w:val="right"/>
              <w:rPr>
                <w:rFonts w:hint="eastAsia" w:ascii="仿宋" w:hAnsi="仿宋" w:eastAsia="仿宋"/>
                <w:bCs/>
                <w:snapToGrid w:val="0"/>
                <w:kern w:val="0"/>
                <w:sz w:val="18"/>
                <w:szCs w:val="21"/>
              </w:rPr>
            </w:pPr>
            <w:r>
              <w:rPr>
                <w:rFonts w:hint="eastAsia" w:ascii="仿宋" w:hAnsi="仿宋" w:eastAsia="仿宋"/>
                <w:bCs/>
                <w:snapToGrid w:val="0"/>
                <w:kern w:val="0"/>
                <w:sz w:val="18"/>
                <w:szCs w:val="21"/>
              </w:rPr>
              <w:t>2</w:t>
            </w:r>
          </w:p>
        </w:tc>
      </w:tr>
      <w:tr w14:paraId="0A0F0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95" w:type="pct"/>
            <w:vMerge w:val="continue"/>
            <w:shd w:val="clear" w:color="auto" w:fill="auto"/>
            <w:vAlign w:val="center"/>
          </w:tcPr>
          <w:p w14:paraId="4B09D427">
            <w:pPr>
              <w:adjustRightInd w:val="0"/>
              <w:snapToGrid w:val="0"/>
              <w:spacing w:after="0" w:line="408" w:lineRule="auto"/>
              <w:jc w:val="center"/>
              <w:rPr>
                <w:rFonts w:hint="eastAsia" w:ascii="仿宋" w:hAnsi="仿宋" w:eastAsia="仿宋"/>
                <w:bCs/>
                <w:snapToGrid w:val="0"/>
                <w:kern w:val="0"/>
                <w:sz w:val="18"/>
                <w:szCs w:val="21"/>
              </w:rPr>
            </w:pPr>
          </w:p>
        </w:tc>
        <w:tc>
          <w:tcPr>
            <w:tcW w:w="809" w:type="pct"/>
            <w:vMerge w:val="continue"/>
            <w:shd w:val="clear" w:color="auto" w:fill="auto"/>
            <w:vAlign w:val="center"/>
          </w:tcPr>
          <w:p w14:paraId="531CC0A5">
            <w:pPr>
              <w:adjustRightInd w:val="0"/>
              <w:snapToGrid w:val="0"/>
              <w:spacing w:after="0" w:line="408" w:lineRule="auto"/>
              <w:jc w:val="center"/>
              <w:rPr>
                <w:rFonts w:hint="eastAsia" w:ascii="仿宋" w:hAnsi="仿宋" w:eastAsia="仿宋"/>
                <w:bCs/>
                <w:snapToGrid w:val="0"/>
                <w:kern w:val="0"/>
                <w:sz w:val="18"/>
                <w:szCs w:val="21"/>
              </w:rPr>
            </w:pPr>
          </w:p>
        </w:tc>
        <w:tc>
          <w:tcPr>
            <w:tcW w:w="770" w:type="pct"/>
            <w:shd w:val="clear" w:color="auto" w:fill="auto"/>
            <w:vAlign w:val="center"/>
          </w:tcPr>
          <w:p w14:paraId="11176A0A">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绩效目标明确性（3分）</w:t>
            </w:r>
          </w:p>
        </w:tc>
        <w:tc>
          <w:tcPr>
            <w:tcW w:w="1002" w:type="pct"/>
            <w:shd w:val="clear" w:color="auto" w:fill="auto"/>
            <w:vAlign w:val="center"/>
          </w:tcPr>
          <w:p w14:paraId="4A4BAAEB">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依据绩效目标设定的绩效指标是否清晰、细化、可衡量等，用以反映和考核项目绩效目标的明细化情况。</w:t>
            </w:r>
          </w:p>
        </w:tc>
        <w:tc>
          <w:tcPr>
            <w:tcW w:w="1457" w:type="pct"/>
            <w:shd w:val="clear" w:color="auto" w:fill="auto"/>
            <w:vAlign w:val="center"/>
          </w:tcPr>
          <w:p w14:paraId="53E8D66E">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评价要点：</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①是否将项目绩效目标细化分解为具体的绩效指标；</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②是否通过清晰、可衡量的指标值予以体现；</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③是否与项目目标任务数或计划数相对应。</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一项不符扣1分，扣完为止。</w:t>
            </w:r>
          </w:p>
        </w:tc>
        <w:tc>
          <w:tcPr>
            <w:tcW w:w="234" w:type="pct"/>
            <w:shd w:val="clear" w:color="auto" w:fill="auto"/>
            <w:vAlign w:val="center"/>
          </w:tcPr>
          <w:p w14:paraId="26772ABB">
            <w:pPr>
              <w:adjustRightInd w:val="0"/>
              <w:snapToGrid w:val="0"/>
              <w:spacing w:after="0" w:line="408" w:lineRule="auto"/>
              <w:jc w:val="right"/>
              <w:rPr>
                <w:rFonts w:hint="eastAsia" w:ascii="仿宋" w:hAnsi="仿宋" w:eastAsia="仿宋"/>
                <w:bCs/>
                <w:snapToGrid w:val="0"/>
                <w:kern w:val="0"/>
                <w:sz w:val="18"/>
                <w:szCs w:val="21"/>
              </w:rPr>
            </w:pPr>
            <w:r>
              <w:rPr>
                <w:rFonts w:hint="eastAsia" w:ascii="仿宋" w:hAnsi="仿宋" w:eastAsia="仿宋"/>
                <w:bCs/>
                <w:snapToGrid w:val="0"/>
                <w:kern w:val="0"/>
                <w:sz w:val="18"/>
                <w:szCs w:val="21"/>
              </w:rPr>
              <w:t>3</w:t>
            </w:r>
          </w:p>
        </w:tc>
        <w:tc>
          <w:tcPr>
            <w:tcW w:w="233" w:type="pct"/>
            <w:shd w:val="clear" w:color="auto" w:fill="auto"/>
            <w:vAlign w:val="center"/>
          </w:tcPr>
          <w:p w14:paraId="44AF0992">
            <w:pPr>
              <w:adjustRightInd w:val="0"/>
              <w:snapToGrid w:val="0"/>
              <w:spacing w:after="0" w:line="408" w:lineRule="auto"/>
              <w:jc w:val="right"/>
              <w:rPr>
                <w:rFonts w:hint="eastAsia" w:ascii="仿宋" w:hAnsi="仿宋" w:eastAsia="仿宋"/>
                <w:bCs/>
                <w:snapToGrid w:val="0"/>
                <w:kern w:val="0"/>
                <w:sz w:val="18"/>
                <w:szCs w:val="21"/>
              </w:rPr>
            </w:pPr>
            <w:r>
              <w:rPr>
                <w:rFonts w:hint="eastAsia" w:ascii="仿宋" w:hAnsi="仿宋" w:eastAsia="仿宋"/>
                <w:bCs/>
                <w:snapToGrid w:val="0"/>
                <w:kern w:val="0"/>
                <w:sz w:val="18"/>
                <w:szCs w:val="21"/>
              </w:rPr>
              <w:t>3</w:t>
            </w:r>
          </w:p>
        </w:tc>
      </w:tr>
      <w:tr w14:paraId="3F694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95" w:type="pct"/>
            <w:vMerge w:val="continue"/>
            <w:shd w:val="clear" w:color="auto" w:fill="auto"/>
            <w:vAlign w:val="center"/>
          </w:tcPr>
          <w:p w14:paraId="3C98646D">
            <w:pPr>
              <w:adjustRightInd w:val="0"/>
              <w:snapToGrid w:val="0"/>
              <w:spacing w:after="0" w:line="408" w:lineRule="auto"/>
              <w:jc w:val="center"/>
              <w:rPr>
                <w:rFonts w:hint="eastAsia" w:ascii="仿宋" w:hAnsi="仿宋" w:eastAsia="仿宋"/>
                <w:bCs/>
                <w:snapToGrid w:val="0"/>
                <w:kern w:val="0"/>
                <w:sz w:val="18"/>
                <w:szCs w:val="21"/>
              </w:rPr>
            </w:pPr>
          </w:p>
        </w:tc>
        <w:tc>
          <w:tcPr>
            <w:tcW w:w="809" w:type="pct"/>
            <w:vMerge w:val="restart"/>
            <w:shd w:val="clear" w:color="auto" w:fill="auto"/>
            <w:vAlign w:val="center"/>
          </w:tcPr>
          <w:p w14:paraId="3D518DED">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资金投入（4分）</w:t>
            </w:r>
          </w:p>
        </w:tc>
        <w:tc>
          <w:tcPr>
            <w:tcW w:w="770" w:type="pct"/>
            <w:shd w:val="clear" w:color="auto" w:fill="auto"/>
            <w:vAlign w:val="center"/>
          </w:tcPr>
          <w:p w14:paraId="7CBE9F40">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预算编制科学性（2分）</w:t>
            </w:r>
          </w:p>
        </w:tc>
        <w:tc>
          <w:tcPr>
            <w:tcW w:w="1002" w:type="pct"/>
            <w:shd w:val="clear" w:color="auto" w:fill="auto"/>
            <w:vAlign w:val="center"/>
          </w:tcPr>
          <w:p w14:paraId="37F05881">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项目预算编制是否经过科学论证、有明确标准，资金额度与年度目标是否相适应，用以反映和考核项目预算编制的科学性、合理性情况。</w:t>
            </w:r>
          </w:p>
        </w:tc>
        <w:tc>
          <w:tcPr>
            <w:tcW w:w="1457" w:type="pct"/>
            <w:shd w:val="clear" w:color="auto" w:fill="auto"/>
            <w:vAlign w:val="center"/>
          </w:tcPr>
          <w:p w14:paraId="1A802941">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评价要点：</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①预算编制是否经过科学论证；</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②预算内容与项目内容是否匹配；</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③预算额度测算依据是否充分，是否</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按照标准编制；</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④预算确定的项目投资额或资金量是</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否与工作任务相匹配。</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一项不符扣0.5分，扣完为止.</w:t>
            </w:r>
          </w:p>
        </w:tc>
        <w:tc>
          <w:tcPr>
            <w:tcW w:w="234" w:type="pct"/>
            <w:shd w:val="clear" w:color="auto" w:fill="auto"/>
            <w:vAlign w:val="center"/>
          </w:tcPr>
          <w:p w14:paraId="41BB54AA">
            <w:pPr>
              <w:adjustRightInd w:val="0"/>
              <w:snapToGrid w:val="0"/>
              <w:spacing w:after="0" w:line="408" w:lineRule="auto"/>
              <w:jc w:val="right"/>
              <w:rPr>
                <w:rFonts w:hint="eastAsia" w:ascii="仿宋" w:hAnsi="仿宋" w:eastAsia="仿宋"/>
                <w:bCs/>
                <w:snapToGrid w:val="0"/>
                <w:kern w:val="0"/>
                <w:sz w:val="18"/>
                <w:szCs w:val="21"/>
              </w:rPr>
            </w:pPr>
            <w:r>
              <w:rPr>
                <w:rFonts w:hint="eastAsia" w:ascii="仿宋" w:hAnsi="仿宋" w:eastAsia="仿宋"/>
                <w:bCs/>
                <w:snapToGrid w:val="0"/>
                <w:kern w:val="0"/>
                <w:sz w:val="18"/>
                <w:szCs w:val="21"/>
              </w:rPr>
              <w:t>2</w:t>
            </w:r>
          </w:p>
        </w:tc>
        <w:tc>
          <w:tcPr>
            <w:tcW w:w="233" w:type="pct"/>
            <w:shd w:val="clear" w:color="auto" w:fill="auto"/>
            <w:vAlign w:val="center"/>
          </w:tcPr>
          <w:p w14:paraId="4AABE47C">
            <w:pPr>
              <w:adjustRightInd w:val="0"/>
              <w:snapToGrid w:val="0"/>
              <w:spacing w:after="0" w:line="408" w:lineRule="auto"/>
              <w:jc w:val="right"/>
              <w:rPr>
                <w:rFonts w:hint="eastAsia" w:ascii="仿宋" w:hAnsi="仿宋" w:eastAsia="仿宋"/>
                <w:bCs/>
                <w:snapToGrid w:val="0"/>
                <w:kern w:val="0"/>
                <w:sz w:val="18"/>
                <w:szCs w:val="21"/>
              </w:rPr>
            </w:pPr>
            <w:r>
              <w:rPr>
                <w:rFonts w:hint="eastAsia" w:ascii="仿宋" w:hAnsi="仿宋" w:eastAsia="仿宋"/>
                <w:bCs/>
                <w:snapToGrid w:val="0"/>
                <w:kern w:val="0"/>
                <w:sz w:val="18"/>
                <w:szCs w:val="21"/>
              </w:rPr>
              <w:t>2</w:t>
            </w:r>
          </w:p>
        </w:tc>
      </w:tr>
      <w:tr w14:paraId="7E262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95" w:type="pct"/>
            <w:vMerge w:val="continue"/>
            <w:shd w:val="clear" w:color="auto" w:fill="auto"/>
            <w:vAlign w:val="center"/>
          </w:tcPr>
          <w:p w14:paraId="67FCE570">
            <w:pPr>
              <w:adjustRightInd w:val="0"/>
              <w:snapToGrid w:val="0"/>
              <w:spacing w:after="0" w:line="408" w:lineRule="auto"/>
              <w:jc w:val="center"/>
              <w:rPr>
                <w:rFonts w:hint="eastAsia" w:ascii="仿宋" w:hAnsi="仿宋" w:eastAsia="仿宋"/>
                <w:bCs/>
                <w:snapToGrid w:val="0"/>
                <w:kern w:val="0"/>
                <w:sz w:val="18"/>
                <w:szCs w:val="21"/>
              </w:rPr>
            </w:pPr>
          </w:p>
        </w:tc>
        <w:tc>
          <w:tcPr>
            <w:tcW w:w="809" w:type="pct"/>
            <w:vMerge w:val="continue"/>
            <w:shd w:val="clear" w:color="auto" w:fill="auto"/>
            <w:vAlign w:val="center"/>
          </w:tcPr>
          <w:p w14:paraId="6BFAF4A4">
            <w:pPr>
              <w:adjustRightInd w:val="0"/>
              <w:snapToGrid w:val="0"/>
              <w:spacing w:after="0" w:line="408" w:lineRule="auto"/>
              <w:jc w:val="center"/>
              <w:rPr>
                <w:rFonts w:hint="eastAsia" w:ascii="仿宋" w:hAnsi="仿宋" w:eastAsia="仿宋"/>
                <w:bCs/>
                <w:snapToGrid w:val="0"/>
                <w:kern w:val="0"/>
                <w:sz w:val="18"/>
                <w:szCs w:val="21"/>
              </w:rPr>
            </w:pPr>
          </w:p>
        </w:tc>
        <w:tc>
          <w:tcPr>
            <w:tcW w:w="770" w:type="pct"/>
            <w:shd w:val="clear" w:color="auto" w:fill="auto"/>
            <w:vAlign w:val="center"/>
          </w:tcPr>
          <w:p w14:paraId="15883A8E">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资金分配合理性（2分）</w:t>
            </w:r>
          </w:p>
        </w:tc>
        <w:tc>
          <w:tcPr>
            <w:tcW w:w="1002" w:type="pct"/>
            <w:shd w:val="clear" w:color="auto" w:fill="auto"/>
            <w:vAlign w:val="center"/>
          </w:tcPr>
          <w:p w14:paraId="263B208C">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项目预算资金分配是否有测算依据；与补助单位或地方实际是否相适应。用以反映和考核项目预算资金分配的科学性、合理性情况。</w:t>
            </w:r>
          </w:p>
        </w:tc>
        <w:tc>
          <w:tcPr>
            <w:tcW w:w="1457" w:type="pct"/>
            <w:shd w:val="clear" w:color="auto" w:fill="auto"/>
            <w:vAlign w:val="center"/>
          </w:tcPr>
          <w:p w14:paraId="455C4EDC">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评价要点：</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①预算资金分配依据是否充分；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②资金分配额度是否合理，与项目单位或地方实际是否相适应。</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一项不符扣1分，扣完为止。</w:t>
            </w:r>
          </w:p>
        </w:tc>
        <w:tc>
          <w:tcPr>
            <w:tcW w:w="234" w:type="pct"/>
            <w:shd w:val="clear" w:color="auto" w:fill="auto"/>
            <w:vAlign w:val="center"/>
          </w:tcPr>
          <w:p w14:paraId="014A2A03">
            <w:pPr>
              <w:adjustRightInd w:val="0"/>
              <w:snapToGrid w:val="0"/>
              <w:spacing w:after="0" w:line="408" w:lineRule="auto"/>
              <w:jc w:val="right"/>
              <w:rPr>
                <w:rFonts w:hint="eastAsia" w:ascii="仿宋" w:hAnsi="仿宋" w:eastAsia="仿宋"/>
                <w:bCs/>
                <w:snapToGrid w:val="0"/>
                <w:kern w:val="0"/>
                <w:sz w:val="18"/>
                <w:szCs w:val="21"/>
              </w:rPr>
            </w:pPr>
            <w:r>
              <w:rPr>
                <w:rFonts w:hint="eastAsia" w:ascii="仿宋" w:hAnsi="仿宋" w:eastAsia="仿宋"/>
                <w:bCs/>
                <w:snapToGrid w:val="0"/>
                <w:kern w:val="0"/>
                <w:sz w:val="18"/>
                <w:szCs w:val="21"/>
              </w:rPr>
              <w:t>2</w:t>
            </w:r>
          </w:p>
        </w:tc>
        <w:tc>
          <w:tcPr>
            <w:tcW w:w="233" w:type="pct"/>
            <w:shd w:val="clear" w:color="auto" w:fill="auto"/>
            <w:vAlign w:val="center"/>
          </w:tcPr>
          <w:p w14:paraId="153A71A3">
            <w:pPr>
              <w:adjustRightInd w:val="0"/>
              <w:snapToGrid w:val="0"/>
              <w:spacing w:after="0" w:line="408" w:lineRule="auto"/>
              <w:jc w:val="right"/>
              <w:rPr>
                <w:rFonts w:hint="eastAsia" w:ascii="仿宋" w:hAnsi="仿宋" w:eastAsia="仿宋"/>
                <w:bCs/>
                <w:snapToGrid w:val="0"/>
                <w:kern w:val="0"/>
                <w:sz w:val="18"/>
                <w:szCs w:val="21"/>
              </w:rPr>
            </w:pPr>
            <w:r>
              <w:rPr>
                <w:rFonts w:hint="eastAsia" w:ascii="仿宋" w:hAnsi="仿宋" w:eastAsia="仿宋"/>
                <w:bCs/>
                <w:snapToGrid w:val="0"/>
                <w:kern w:val="0"/>
                <w:sz w:val="18"/>
                <w:szCs w:val="21"/>
              </w:rPr>
              <w:t>2</w:t>
            </w:r>
          </w:p>
        </w:tc>
      </w:tr>
      <w:tr w14:paraId="1602A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95" w:type="pct"/>
            <w:vMerge w:val="restart"/>
            <w:shd w:val="clear" w:color="auto" w:fill="auto"/>
            <w:vAlign w:val="center"/>
          </w:tcPr>
          <w:p w14:paraId="7706A224">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过程（20%）</w:t>
            </w:r>
          </w:p>
        </w:tc>
        <w:tc>
          <w:tcPr>
            <w:tcW w:w="809" w:type="pct"/>
            <w:vMerge w:val="restart"/>
            <w:shd w:val="clear" w:color="auto" w:fill="auto"/>
            <w:vAlign w:val="center"/>
          </w:tcPr>
          <w:p w14:paraId="54873E61">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绩效管理（9分）</w:t>
            </w:r>
          </w:p>
        </w:tc>
        <w:tc>
          <w:tcPr>
            <w:tcW w:w="770" w:type="pct"/>
            <w:shd w:val="clear" w:color="auto" w:fill="auto"/>
            <w:vAlign w:val="center"/>
          </w:tcPr>
          <w:p w14:paraId="63710074">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绩效自评合规性（3分）</w:t>
            </w:r>
          </w:p>
        </w:tc>
        <w:tc>
          <w:tcPr>
            <w:tcW w:w="1002" w:type="pct"/>
            <w:shd w:val="clear" w:color="auto" w:fill="auto"/>
            <w:vAlign w:val="center"/>
          </w:tcPr>
          <w:p w14:paraId="012B4D98">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是否按要求开展绩效自评工作；绩效自评报告是否报送及时，绩效自评是否真实可靠。</w:t>
            </w:r>
          </w:p>
        </w:tc>
        <w:tc>
          <w:tcPr>
            <w:tcW w:w="1457" w:type="pct"/>
            <w:shd w:val="clear" w:color="auto" w:fill="auto"/>
            <w:vAlign w:val="center"/>
          </w:tcPr>
          <w:p w14:paraId="754C5F76">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评价要点：</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①是否按要求开展绩效自评工作；</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②绩效自评报告是否报送及时；</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③绩效自评报告是否完整，数据是否全面、真实、准确，绩效指标是否细化量化和科学合理；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一项不符扣1分，扣完为止。</w:t>
            </w:r>
          </w:p>
        </w:tc>
        <w:tc>
          <w:tcPr>
            <w:tcW w:w="234" w:type="pct"/>
            <w:shd w:val="clear" w:color="auto" w:fill="auto"/>
            <w:vAlign w:val="center"/>
          </w:tcPr>
          <w:p w14:paraId="0DF72842">
            <w:pPr>
              <w:adjustRightInd w:val="0"/>
              <w:snapToGrid w:val="0"/>
              <w:spacing w:after="0" w:line="408" w:lineRule="auto"/>
              <w:jc w:val="right"/>
              <w:rPr>
                <w:rFonts w:hint="eastAsia" w:ascii="仿宋" w:hAnsi="仿宋" w:eastAsia="仿宋"/>
                <w:bCs/>
                <w:snapToGrid w:val="0"/>
                <w:kern w:val="0"/>
                <w:sz w:val="18"/>
                <w:szCs w:val="21"/>
              </w:rPr>
            </w:pPr>
            <w:r>
              <w:rPr>
                <w:rFonts w:hint="eastAsia" w:ascii="仿宋" w:hAnsi="仿宋" w:eastAsia="仿宋"/>
                <w:bCs/>
                <w:snapToGrid w:val="0"/>
                <w:kern w:val="0"/>
                <w:sz w:val="18"/>
                <w:szCs w:val="21"/>
              </w:rPr>
              <w:t>3</w:t>
            </w:r>
          </w:p>
        </w:tc>
        <w:tc>
          <w:tcPr>
            <w:tcW w:w="233" w:type="pct"/>
            <w:shd w:val="clear" w:color="auto" w:fill="auto"/>
            <w:vAlign w:val="center"/>
          </w:tcPr>
          <w:p w14:paraId="5DD02AB1">
            <w:pPr>
              <w:adjustRightInd w:val="0"/>
              <w:snapToGrid w:val="0"/>
              <w:spacing w:after="0" w:line="408" w:lineRule="auto"/>
              <w:jc w:val="right"/>
              <w:rPr>
                <w:rFonts w:hint="eastAsia" w:ascii="仿宋" w:hAnsi="仿宋" w:eastAsia="仿宋"/>
                <w:bCs/>
                <w:snapToGrid w:val="0"/>
                <w:kern w:val="0"/>
                <w:sz w:val="18"/>
                <w:szCs w:val="21"/>
              </w:rPr>
            </w:pPr>
            <w:r>
              <w:rPr>
                <w:rFonts w:hint="eastAsia" w:ascii="仿宋" w:hAnsi="仿宋" w:eastAsia="仿宋"/>
                <w:bCs/>
                <w:snapToGrid w:val="0"/>
                <w:kern w:val="0"/>
                <w:sz w:val="18"/>
                <w:szCs w:val="21"/>
              </w:rPr>
              <w:t>0</w:t>
            </w:r>
          </w:p>
        </w:tc>
      </w:tr>
      <w:tr w14:paraId="78FB5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95" w:type="pct"/>
            <w:vMerge w:val="continue"/>
            <w:shd w:val="clear" w:color="auto" w:fill="auto"/>
            <w:vAlign w:val="center"/>
          </w:tcPr>
          <w:p w14:paraId="63B67D95">
            <w:pPr>
              <w:adjustRightInd w:val="0"/>
              <w:snapToGrid w:val="0"/>
              <w:spacing w:after="0" w:line="408" w:lineRule="auto"/>
              <w:jc w:val="center"/>
              <w:rPr>
                <w:rFonts w:hint="eastAsia" w:ascii="仿宋" w:hAnsi="仿宋" w:eastAsia="仿宋"/>
                <w:bCs/>
                <w:snapToGrid w:val="0"/>
                <w:kern w:val="0"/>
                <w:sz w:val="18"/>
                <w:szCs w:val="21"/>
              </w:rPr>
            </w:pPr>
          </w:p>
        </w:tc>
        <w:tc>
          <w:tcPr>
            <w:tcW w:w="809" w:type="pct"/>
            <w:vMerge w:val="continue"/>
            <w:shd w:val="clear" w:color="auto" w:fill="auto"/>
            <w:vAlign w:val="center"/>
          </w:tcPr>
          <w:p w14:paraId="6AFC9EC2">
            <w:pPr>
              <w:adjustRightInd w:val="0"/>
              <w:snapToGrid w:val="0"/>
              <w:spacing w:after="0" w:line="408" w:lineRule="auto"/>
              <w:jc w:val="center"/>
              <w:rPr>
                <w:rFonts w:hint="eastAsia" w:ascii="仿宋" w:hAnsi="仿宋" w:eastAsia="仿宋"/>
                <w:bCs/>
                <w:snapToGrid w:val="0"/>
                <w:kern w:val="0"/>
                <w:sz w:val="18"/>
                <w:szCs w:val="21"/>
              </w:rPr>
            </w:pPr>
          </w:p>
        </w:tc>
        <w:tc>
          <w:tcPr>
            <w:tcW w:w="770" w:type="pct"/>
            <w:shd w:val="clear" w:color="auto" w:fill="auto"/>
            <w:vAlign w:val="center"/>
          </w:tcPr>
          <w:p w14:paraId="78636C50">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预算执行率（4分）</w:t>
            </w:r>
          </w:p>
        </w:tc>
        <w:tc>
          <w:tcPr>
            <w:tcW w:w="1002" w:type="pct"/>
            <w:shd w:val="clear" w:color="auto" w:fill="auto"/>
            <w:vAlign w:val="center"/>
          </w:tcPr>
          <w:p w14:paraId="193F3260">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项目预算资金是否按照计划执行，用以反映或考核项目预算执行情况（预算执行率=（实际支出资金/实际到位资金）×100%）。</w:t>
            </w:r>
          </w:p>
        </w:tc>
        <w:tc>
          <w:tcPr>
            <w:tcW w:w="1457" w:type="pct"/>
            <w:shd w:val="clear" w:color="auto" w:fill="auto"/>
            <w:vAlign w:val="center"/>
          </w:tcPr>
          <w:p w14:paraId="287C435A">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评价要点：</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①90%≤预算执行率≤100%，得4分；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②70%≤预算执行率﹤90%，得3分；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③50%≤预算执行率﹤70%，得2分；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④30%≤预算执行率﹤50%，得1分；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⑤预算执行率﹤30%，得0分。</w:t>
            </w:r>
          </w:p>
        </w:tc>
        <w:tc>
          <w:tcPr>
            <w:tcW w:w="234" w:type="pct"/>
            <w:shd w:val="clear" w:color="auto" w:fill="auto"/>
            <w:vAlign w:val="center"/>
          </w:tcPr>
          <w:p w14:paraId="42308932">
            <w:pPr>
              <w:adjustRightInd w:val="0"/>
              <w:snapToGrid w:val="0"/>
              <w:spacing w:after="0" w:line="408" w:lineRule="auto"/>
              <w:jc w:val="right"/>
              <w:rPr>
                <w:rFonts w:hint="eastAsia" w:ascii="仿宋" w:hAnsi="仿宋" w:eastAsia="仿宋"/>
                <w:bCs/>
                <w:snapToGrid w:val="0"/>
                <w:kern w:val="0"/>
                <w:sz w:val="18"/>
                <w:szCs w:val="21"/>
              </w:rPr>
            </w:pPr>
            <w:r>
              <w:rPr>
                <w:rFonts w:hint="eastAsia" w:ascii="仿宋" w:hAnsi="仿宋" w:eastAsia="仿宋"/>
                <w:bCs/>
                <w:snapToGrid w:val="0"/>
                <w:kern w:val="0"/>
                <w:sz w:val="18"/>
                <w:szCs w:val="21"/>
              </w:rPr>
              <w:t>4</w:t>
            </w:r>
          </w:p>
        </w:tc>
        <w:tc>
          <w:tcPr>
            <w:tcW w:w="233" w:type="pct"/>
            <w:shd w:val="clear" w:color="auto" w:fill="auto"/>
            <w:vAlign w:val="center"/>
          </w:tcPr>
          <w:p w14:paraId="5B0C112A">
            <w:pPr>
              <w:adjustRightInd w:val="0"/>
              <w:snapToGrid w:val="0"/>
              <w:spacing w:after="0" w:line="408" w:lineRule="auto"/>
              <w:jc w:val="right"/>
              <w:rPr>
                <w:rFonts w:hint="eastAsia" w:ascii="仿宋" w:hAnsi="仿宋" w:eastAsia="仿宋"/>
                <w:bCs/>
                <w:snapToGrid w:val="0"/>
                <w:kern w:val="0"/>
                <w:sz w:val="18"/>
                <w:szCs w:val="21"/>
              </w:rPr>
            </w:pPr>
            <w:r>
              <w:rPr>
                <w:rFonts w:hint="eastAsia" w:ascii="仿宋" w:hAnsi="仿宋" w:eastAsia="仿宋"/>
                <w:bCs/>
                <w:snapToGrid w:val="0"/>
                <w:kern w:val="0"/>
                <w:sz w:val="18"/>
                <w:szCs w:val="21"/>
              </w:rPr>
              <w:t>1</w:t>
            </w:r>
          </w:p>
        </w:tc>
      </w:tr>
      <w:tr w14:paraId="249A1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95" w:type="pct"/>
            <w:vMerge w:val="continue"/>
            <w:shd w:val="clear" w:color="auto" w:fill="auto"/>
            <w:vAlign w:val="center"/>
          </w:tcPr>
          <w:p w14:paraId="28B03AE6">
            <w:pPr>
              <w:adjustRightInd w:val="0"/>
              <w:snapToGrid w:val="0"/>
              <w:spacing w:after="0" w:line="408" w:lineRule="auto"/>
              <w:jc w:val="center"/>
              <w:rPr>
                <w:rFonts w:hint="eastAsia" w:ascii="仿宋" w:hAnsi="仿宋" w:eastAsia="仿宋"/>
                <w:bCs/>
                <w:snapToGrid w:val="0"/>
                <w:kern w:val="0"/>
                <w:sz w:val="18"/>
                <w:szCs w:val="21"/>
              </w:rPr>
            </w:pPr>
          </w:p>
        </w:tc>
        <w:tc>
          <w:tcPr>
            <w:tcW w:w="809" w:type="pct"/>
            <w:vMerge w:val="continue"/>
            <w:shd w:val="clear" w:color="auto" w:fill="auto"/>
            <w:vAlign w:val="center"/>
          </w:tcPr>
          <w:p w14:paraId="0BD04C78">
            <w:pPr>
              <w:adjustRightInd w:val="0"/>
              <w:snapToGrid w:val="0"/>
              <w:spacing w:after="0" w:line="408" w:lineRule="auto"/>
              <w:jc w:val="center"/>
              <w:rPr>
                <w:rFonts w:hint="eastAsia" w:ascii="仿宋" w:hAnsi="仿宋" w:eastAsia="仿宋"/>
                <w:bCs/>
                <w:snapToGrid w:val="0"/>
                <w:kern w:val="0"/>
                <w:sz w:val="18"/>
                <w:szCs w:val="21"/>
              </w:rPr>
            </w:pPr>
          </w:p>
        </w:tc>
        <w:tc>
          <w:tcPr>
            <w:tcW w:w="770" w:type="pct"/>
            <w:shd w:val="clear" w:color="auto" w:fill="auto"/>
            <w:vAlign w:val="center"/>
          </w:tcPr>
          <w:p w14:paraId="511252F0">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资金使用合规性（2分）</w:t>
            </w:r>
          </w:p>
        </w:tc>
        <w:tc>
          <w:tcPr>
            <w:tcW w:w="1002" w:type="pct"/>
            <w:shd w:val="clear" w:color="auto" w:fill="auto"/>
            <w:vAlign w:val="center"/>
          </w:tcPr>
          <w:p w14:paraId="470495A2">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项目资金使用是否符合相关的财务管理制度规定，用以反映和考核项目资金的规范运行情况。</w:t>
            </w:r>
          </w:p>
        </w:tc>
        <w:tc>
          <w:tcPr>
            <w:tcW w:w="1457" w:type="pct"/>
            <w:shd w:val="clear" w:color="auto" w:fill="auto"/>
            <w:vAlign w:val="center"/>
          </w:tcPr>
          <w:p w14:paraId="15ED3687">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评价要点：</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①是否符合国家财经法规和财务管理制度以及有关专项资金管理办法的规定；</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②资金的拨付是否有完整的审批程序和手续；</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③是否符合项目预算批复或合同规定的用途；</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④是否存在截留、挤占、挪用、虚列支出等情况。</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一项不符扣0.5分，扣完为止。</w:t>
            </w:r>
          </w:p>
        </w:tc>
        <w:tc>
          <w:tcPr>
            <w:tcW w:w="234" w:type="pct"/>
            <w:shd w:val="clear" w:color="auto" w:fill="auto"/>
            <w:vAlign w:val="center"/>
          </w:tcPr>
          <w:p w14:paraId="4851A83E">
            <w:pPr>
              <w:adjustRightInd w:val="0"/>
              <w:snapToGrid w:val="0"/>
              <w:spacing w:after="0" w:line="408" w:lineRule="auto"/>
              <w:jc w:val="right"/>
              <w:rPr>
                <w:rFonts w:hint="eastAsia" w:ascii="仿宋" w:hAnsi="仿宋" w:eastAsia="仿宋"/>
                <w:bCs/>
                <w:snapToGrid w:val="0"/>
                <w:kern w:val="0"/>
                <w:sz w:val="18"/>
                <w:szCs w:val="21"/>
              </w:rPr>
            </w:pPr>
            <w:r>
              <w:rPr>
                <w:rFonts w:hint="eastAsia" w:ascii="仿宋" w:hAnsi="仿宋" w:eastAsia="仿宋"/>
                <w:bCs/>
                <w:snapToGrid w:val="0"/>
                <w:kern w:val="0"/>
                <w:sz w:val="18"/>
                <w:szCs w:val="21"/>
              </w:rPr>
              <w:t>2</w:t>
            </w:r>
          </w:p>
        </w:tc>
        <w:tc>
          <w:tcPr>
            <w:tcW w:w="233" w:type="pct"/>
            <w:shd w:val="clear" w:color="auto" w:fill="auto"/>
            <w:vAlign w:val="center"/>
          </w:tcPr>
          <w:p w14:paraId="7FB02C22">
            <w:pPr>
              <w:adjustRightInd w:val="0"/>
              <w:snapToGrid w:val="0"/>
              <w:spacing w:after="0" w:line="408" w:lineRule="auto"/>
              <w:jc w:val="right"/>
              <w:rPr>
                <w:rFonts w:hint="eastAsia" w:ascii="仿宋" w:hAnsi="仿宋" w:eastAsia="仿宋"/>
                <w:bCs/>
                <w:snapToGrid w:val="0"/>
                <w:kern w:val="0"/>
                <w:sz w:val="18"/>
                <w:szCs w:val="21"/>
              </w:rPr>
            </w:pPr>
            <w:r>
              <w:rPr>
                <w:rFonts w:hint="eastAsia" w:ascii="仿宋" w:hAnsi="仿宋" w:eastAsia="仿宋"/>
                <w:bCs/>
                <w:snapToGrid w:val="0"/>
                <w:kern w:val="0"/>
                <w:sz w:val="18"/>
                <w:szCs w:val="21"/>
              </w:rPr>
              <w:t>2</w:t>
            </w:r>
          </w:p>
        </w:tc>
      </w:tr>
      <w:tr w14:paraId="282A0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95" w:type="pct"/>
            <w:vMerge w:val="continue"/>
            <w:shd w:val="clear" w:color="auto" w:fill="auto"/>
            <w:vAlign w:val="center"/>
          </w:tcPr>
          <w:p w14:paraId="635D7570">
            <w:pPr>
              <w:adjustRightInd w:val="0"/>
              <w:snapToGrid w:val="0"/>
              <w:spacing w:after="0" w:line="408" w:lineRule="auto"/>
              <w:jc w:val="center"/>
              <w:rPr>
                <w:rFonts w:hint="eastAsia" w:ascii="仿宋" w:hAnsi="仿宋" w:eastAsia="仿宋"/>
                <w:bCs/>
                <w:snapToGrid w:val="0"/>
                <w:kern w:val="0"/>
                <w:sz w:val="18"/>
                <w:szCs w:val="21"/>
              </w:rPr>
            </w:pPr>
          </w:p>
        </w:tc>
        <w:tc>
          <w:tcPr>
            <w:tcW w:w="809" w:type="pct"/>
            <w:vMerge w:val="restart"/>
            <w:shd w:val="clear" w:color="auto" w:fill="auto"/>
            <w:vAlign w:val="center"/>
          </w:tcPr>
          <w:p w14:paraId="136F2C4C">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组织实施（11分）</w:t>
            </w:r>
          </w:p>
        </w:tc>
        <w:tc>
          <w:tcPr>
            <w:tcW w:w="770" w:type="pct"/>
            <w:shd w:val="clear" w:color="auto" w:fill="auto"/>
            <w:vAlign w:val="center"/>
          </w:tcPr>
          <w:p w14:paraId="2B031496">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合同规范性（4分）</w:t>
            </w:r>
          </w:p>
        </w:tc>
        <w:tc>
          <w:tcPr>
            <w:tcW w:w="1002" w:type="pct"/>
            <w:shd w:val="clear" w:color="auto" w:fill="auto"/>
            <w:vAlign w:val="center"/>
          </w:tcPr>
          <w:p w14:paraId="30398214">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合同的签订是否符合《中华人民共和国民法典》的相关规定。</w:t>
            </w:r>
          </w:p>
        </w:tc>
        <w:tc>
          <w:tcPr>
            <w:tcW w:w="1457" w:type="pct"/>
            <w:shd w:val="clear" w:color="auto" w:fill="auto"/>
            <w:vAlign w:val="center"/>
          </w:tcPr>
          <w:p w14:paraId="29400CF6">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评价要点：</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①是否双方均进行盖章并签字；</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②是否对付款进度安排进行了约定；</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③是否对权利义务做了明确约定；</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④是否写明合同日期</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一项不符扣1分，扣完为止。</w:t>
            </w:r>
          </w:p>
        </w:tc>
        <w:tc>
          <w:tcPr>
            <w:tcW w:w="234" w:type="pct"/>
            <w:shd w:val="clear" w:color="auto" w:fill="auto"/>
            <w:vAlign w:val="center"/>
          </w:tcPr>
          <w:p w14:paraId="193E0F16">
            <w:pPr>
              <w:adjustRightInd w:val="0"/>
              <w:snapToGrid w:val="0"/>
              <w:spacing w:after="0" w:line="408" w:lineRule="auto"/>
              <w:jc w:val="right"/>
              <w:rPr>
                <w:rFonts w:hint="eastAsia" w:ascii="仿宋" w:hAnsi="仿宋" w:eastAsia="仿宋"/>
                <w:bCs/>
                <w:snapToGrid w:val="0"/>
                <w:kern w:val="0"/>
                <w:sz w:val="18"/>
                <w:szCs w:val="21"/>
              </w:rPr>
            </w:pPr>
            <w:r>
              <w:rPr>
                <w:rFonts w:hint="eastAsia" w:ascii="仿宋" w:hAnsi="仿宋" w:eastAsia="仿宋"/>
                <w:bCs/>
                <w:snapToGrid w:val="0"/>
                <w:kern w:val="0"/>
                <w:sz w:val="18"/>
                <w:szCs w:val="21"/>
              </w:rPr>
              <w:t>4</w:t>
            </w:r>
          </w:p>
        </w:tc>
        <w:tc>
          <w:tcPr>
            <w:tcW w:w="233" w:type="pct"/>
            <w:shd w:val="clear" w:color="auto" w:fill="auto"/>
            <w:vAlign w:val="center"/>
          </w:tcPr>
          <w:p w14:paraId="7CD59109">
            <w:pPr>
              <w:adjustRightInd w:val="0"/>
              <w:snapToGrid w:val="0"/>
              <w:spacing w:after="0" w:line="408" w:lineRule="auto"/>
              <w:jc w:val="right"/>
              <w:rPr>
                <w:rFonts w:hint="eastAsia" w:ascii="仿宋" w:hAnsi="仿宋" w:eastAsia="仿宋"/>
                <w:bCs/>
                <w:snapToGrid w:val="0"/>
                <w:kern w:val="0"/>
                <w:sz w:val="18"/>
                <w:szCs w:val="21"/>
              </w:rPr>
            </w:pPr>
            <w:r>
              <w:rPr>
                <w:rFonts w:hint="eastAsia" w:ascii="仿宋" w:hAnsi="仿宋" w:eastAsia="仿宋"/>
                <w:bCs/>
                <w:snapToGrid w:val="0"/>
                <w:kern w:val="0"/>
                <w:sz w:val="18"/>
                <w:szCs w:val="21"/>
              </w:rPr>
              <w:t>2</w:t>
            </w:r>
          </w:p>
        </w:tc>
      </w:tr>
      <w:tr w14:paraId="6D1F5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95" w:type="pct"/>
            <w:vMerge w:val="continue"/>
            <w:shd w:val="clear" w:color="auto" w:fill="auto"/>
            <w:vAlign w:val="center"/>
          </w:tcPr>
          <w:p w14:paraId="412593FE">
            <w:pPr>
              <w:adjustRightInd w:val="0"/>
              <w:snapToGrid w:val="0"/>
              <w:spacing w:after="0" w:line="408" w:lineRule="auto"/>
              <w:jc w:val="center"/>
              <w:rPr>
                <w:rFonts w:hint="eastAsia" w:ascii="仿宋" w:hAnsi="仿宋" w:eastAsia="仿宋"/>
                <w:bCs/>
                <w:snapToGrid w:val="0"/>
                <w:kern w:val="0"/>
                <w:sz w:val="18"/>
                <w:szCs w:val="21"/>
              </w:rPr>
            </w:pPr>
          </w:p>
        </w:tc>
        <w:tc>
          <w:tcPr>
            <w:tcW w:w="809" w:type="pct"/>
            <w:vMerge w:val="continue"/>
            <w:shd w:val="clear" w:color="auto" w:fill="auto"/>
            <w:vAlign w:val="center"/>
          </w:tcPr>
          <w:p w14:paraId="59AB3B75">
            <w:pPr>
              <w:adjustRightInd w:val="0"/>
              <w:snapToGrid w:val="0"/>
              <w:spacing w:after="0" w:line="408" w:lineRule="auto"/>
              <w:jc w:val="center"/>
              <w:rPr>
                <w:rFonts w:hint="eastAsia" w:ascii="仿宋" w:hAnsi="仿宋" w:eastAsia="仿宋"/>
                <w:bCs/>
                <w:snapToGrid w:val="0"/>
                <w:kern w:val="0"/>
                <w:sz w:val="18"/>
                <w:szCs w:val="21"/>
              </w:rPr>
            </w:pPr>
          </w:p>
        </w:tc>
        <w:tc>
          <w:tcPr>
            <w:tcW w:w="770" w:type="pct"/>
            <w:shd w:val="clear" w:color="auto" w:fill="auto"/>
            <w:vAlign w:val="center"/>
          </w:tcPr>
          <w:p w14:paraId="1914DC96">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履行合同义务的规范性（4分）</w:t>
            </w:r>
          </w:p>
        </w:tc>
        <w:tc>
          <w:tcPr>
            <w:tcW w:w="1002" w:type="pct"/>
            <w:shd w:val="clear" w:color="auto" w:fill="auto"/>
            <w:vAlign w:val="center"/>
          </w:tcPr>
          <w:p w14:paraId="505F1B3E">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合同在履行的过程中是否按照合同的约定进行履行。</w:t>
            </w:r>
          </w:p>
        </w:tc>
        <w:tc>
          <w:tcPr>
            <w:tcW w:w="1457" w:type="pct"/>
            <w:shd w:val="clear" w:color="auto" w:fill="auto"/>
            <w:vAlign w:val="center"/>
          </w:tcPr>
          <w:p w14:paraId="6BA4EE91">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评价要点：</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①是否按照合同相关约定的金额；</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②是否按照合同约定的金额开具发票；</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③是否按照开票的金额进行付款；</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④发生合同约定的变更时是否有签订补充协议。</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一项不符扣1分，扣完为止。</w:t>
            </w:r>
          </w:p>
        </w:tc>
        <w:tc>
          <w:tcPr>
            <w:tcW w:w="234" w:type="pct"/>
            <w:shd w:val="clear" w:color="auto" w:fill="auto"/>
            <w:vAlign w:val="center"/>
          </w:tcPr>
          <w:p w14:paraId="316110BC">
            <w:pPr>
              <w:adjustRightInd w:val="0"/>
              <w:snapToGrid w:val="0"/>
              <w:spacing w:after="0" w:line="408" w:lineRule="auto"/>
              <w:jc w:val="right"/>
              <w:rPr>
                <w:rFonts w:hint="eastAsia" w:ascii="仿宋" w:hAnsi="仿宋" w:eastAsia="仿宋"/>
                <w:bCs/>
                <w:snapToGrid w:val="0"/>
                <w:kern w:val="0"/>
                <w:sz w:val="18"/>
                <w:szCs w:val="21"/>
              </w:rPr>
            </w:pPr>
            <w:r>
              <w:rPr>
                <w:rFonts w:hint="eastAsia" w:ascii="仿宋" w:hAnsi="仿宋" w:eastAsia="仿宋"/>
                <w:bCs/>
                <w:snapToGrid w:val="0"/>
                <w:kern w:val="0"/>
                <w:sz w:val="18"/>
                <w:szCs w:val="21"/>
              </w:rPr>
              <w:t>4</w:t>
            </w:r>
          </w:p>
        </w:tc>
        <w:tc>
          <w:tcPr>
            <w:tcW w:w="233" w:type="pct"/>
            <w:shd w:val="clear" w:color="auto" w:fill="auto"/>
            <w:vAlign w:val="center"/>
          </w:tcPr>
          <w:p w14:paraId="73CBD10A">
            <w:pPr>
              <w:adjustRightInd w:val="0"/>
              <w:snapToGrid w:val="0"/>
              <w:spacing w:after="0" w:line="408" w:lineRule="auto"/>
              <w:jc w:val="right"/>
              <w:rPr>
                <w:rFonts w:hint="eastAsia" w:ascii="仿宋" w:hAnsi="仿宋" w:eastAsia="仿宋"/>
                <w:bCs/>
                <w:snapToGrid w:val="0"/>
                <w:kern w:val="0"/>
                <w:sz w:val="18"/>
                <w:szCs w:val="21"/>
              </w:rPr>
            </w:pPr>
            <w:r>
              <w:rPr>
                <w:rFonts w:hint="eastAsia" w:ascii="仿宋" w:hAnsi="仿宋" w:eastAsia="仿宋"/>
                <w:bCs/>
                <w:snapToGrid w:val="0"/>
                <w:kern w:val="0"/>
                <w:sz w:val="18"/>
                <w:szCs w:val="21"/>
              </w:rPr>
              <w:t>1</w:t>
            </w:r>
          </w:p>
        </w:tc>
      </w:tr>
      <w:tr w14:paraId="09814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95" w:type="pct"/>
            <w:vMerge w:val="continue"/>
            <w:shd w:val="clear" w:color="auto" w:fill="auto"/>
            <w:vAlign w:val="center"/>
          </w:tcPr>
          <w:p w14:paraId="2E955D96">
            <w:pPr>
              <w:adjustRightInd w:val="0"/>
              <w:snapToGrid w:val="0"/>
              <w:spacing w:after="0" w:line="408" w:lineRule="auto"/>
              <w:jc w:val="center"/>
              <w:rPr>
                <w:rFonts w:hint="eastAsia" w:ascii="仿宋" w:hAnsi="仿宋" w:eastAsia="仿宋"/>
                <w:bCs/>
                <w:snapToGrid w:val="0"/>
                <w:kern w:val="0"/>
                <w:sz w:val="18"/>
                <w:szCs w:val="21"/>
              </w:rPr>
            </w:pPr>
          </w:p>
        </w:tc>
        <w:tc>
          <w:tcPr>
            <w:tcW w:w="809" w:type="pct"/>
            <w:vMerge w:val="continue"/>
            <w:shd w:val="clear" w:color="auto" w:fill="auto"/>
            <w:vAlign w:val="center"/>
          </w:tcPr>
          <w:p w14:paraId="33341371">
            <w:pPr>
              <w:adjustRightInd w:val="0"/>
              <w:snapToGrid w:val="0"/>
              <w:spacing w:after="0" w:line="408" w:lineRule="auto"/>
              <w:jc w:val="center"/>
              <w:rPr>
                <w:rFonts w:hint="eastAsia" w:ascii="仿宋" w:hAnsi="仿宋" w:eastAsia="仿宋"/>
                <w:bCs/>
                <w:snapToGrid w:val="0"/>
                <w:kern w:val="0"/>
                <w:sz w:val="18"/>
                <w:szCs w:val="21"/>
              </w:rPr>
            </w:pPr>
          </w:p>
        </w:tc>
        <w:tc>
          <w:tcPr>
            <w:tcW w:w="770" w:type="pct"/>
            <w:shd w:val="clear" w:color="auto" w:fill="auto"/>
            <w:vAlign w:val="center"/>
          </w:tcPr>
          <w:p w14:paraId="6FDAA89F">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付款进度的合规性（1分）</w:t>
            </w:r>
          </w:p>
        </w:tc>
        <w:tc>
          <w:tcPr>
            <w:tcW w:w="1002" w:type="pct"/>
            <w:shd w:val="clear" w:color="auto" w:fill="auto"/>
            <w:vAlign w:val="center"/>
          </w:tcPr>
          <w:p w14:paraId="3283BC0C">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付款是否有按照合同的约定进行付款。</w:t>
            </w:r>
          </w:p>
        </w:tc>
        <w:tc>
          <w:tcPr>
            <w:tcW w:w="1457" w:type="pct"/>
            <w:shd w:val="clear" w:color="auto" w:fill="auto"/>
            <w:vAlign w:val="center"/>
          </w:tcPr>
          <w:p w14:paraId="02D1DB93">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评价要点：</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①是否按照合同约定的付款进度进行付款；</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②付款进度是否缓慢。</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一项不符扣0.5分，扣完为止。</w:t>
            </w:r>
          </w:p>
        </w:tc>
        <w:tc>
          <w:tcPr>
            <w:tcW w:w="234" w:type="pct"/>
            <w:shd w:val="clear" w:color="auto" w:fill="auto"/>
            <w:vAlign w:val="center"/>
          </w:tcPr>
          <w:p w14:paraId="47E14741">
            <w:pPr>
              <w:adjustRightInd w:val="0"/>
              <w:snapToGrid w:val="0"/>
              <w:spacing w:after="0" w:line="408" w:lineRule="auto"/>
              <w:jc w:val="right"/>
              <w:rPr>
                <w:rFonts w:hint="eastAsia" w:ascii="仿宋" w:hAnsi="仿宋" w:eastAsia="仿宋"/>
                <w:bCs/>
                <w:snapToGrid w:val="0"/>
                <w:kern w:val="0"/>
                <w:sz w:val="18"/>
                <w:szCs w:val="21"/>
              </w:rPr>
            </w:pPr>
            <w:r>
              <w:rPr>
                <w:rFonts w:hint="eastAsia" w:ascii="仿宋" w:hAnsi="仿宋" w:eastAsia="仿宋"/>
                <w:bCs/>
                <w:snapToGrid w:val="0"/>
                <w:kern w:val="0"/>
                <w:sz w:val="18"/>
                <w:szCs w:val="21"/>
              </w:rPr>
              <w:t>1</w:t>
            </w:r>
          </w:p>
        </w:tc>
        <w:tc>
          <w:tcPr>
            <w:tcW w:w="233" w:type="pct"/>
            <w:shd w:val="clear" w:color="auto" w:fill="auto"/>
            <w:vAlign w:val="center"/>
          </w:tcPr>
          <w:p w14:paraId="287772F1">
            <w:pPr>
              <w:adjustRightInd w:val="0"/>
              <w:snapToGrid w:val="0"/>
              <w:spacing w:after="0" w:line="408" w:lineRule="auto"/>
              <w:jc w:val="right"/>
              <w:rPr>
                <w:rFonts w:hint="eastAsia" w:ascii="仿宋" w:hAnsi="仿宋" w:eastAsia="仿宋"/>
                <w:bCs/>
                <w:snapToGrid w:val="0"/>
                <w:kern w:val="0"/>
                <w:sz w:val="18"/>
                <w:szCs w:val="21"/>
              </w:rPr>
            </w:pPr>
            <w:r>
              <w:rPr>
                <w:rFonts w:hint="eastAsia" w:ascii="仿宋" w:hAnsi="仿宋" w:eastAsia="仿宋"/>
                <w:bCs/>
                <w:snapToGrid w:val="0"/>
                <w:kern w:val="0"/>
                <w:sz w:val="18"/>
                <w:szCs w:val="21"/>
              </w:rPr>
              <w:t>1</w:t>
            </w:r>
          </w:p>
        </w:tc>
      </w:tr>
      <w:tr w14:paraId="0269F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95" w:type="pct"/>
            <w:vMerge w:val="continue"/>
            <w:shd w:val="clear" w:color="auto" w:fill="auto"/>
            <w:vAlign w:val="center"/>
          </w:tcPr>
          <w:p w14:paraId="23B9397F">
            <w:pPr>
              <w:adjustRightInd w:val="0"/>
              <w:snapToGrid w:val="0"/>
              <w:spacing w:after="0" w:line="408" w:lineRule="auto"/>
              <w:jc w:val="center"/>
              <w:rPr>
                <w:rFonts w:hint="eastAsia" w:ascii="仿宋" w:hAnsi="仿宋" w:eastAsia="仿宋"/>
                <w:bCs/>
                <w:snapToGrid w:val="0"/>
                <w:kern w:val="0"/>
                <w:sz w:val="18"/>
                <w:szCs w:val="21"/>
              </w:rPr>
            </w:pPr>
          </w:p>
        </w:tc>
        <w:tc>
          <w:tcPr>
            <w:tcW w:w="809" w:type="pct"/>
            <w:vMerge w:val="continue"/>
            <w:shd w:val="clear" w:color="auto" w:fill="auto"/>
            <w:vAlign w:val="center"/>
          </w:tcPr>
          <w:p w14:paraId="13DF6FCB">
            <w:pPr>
              <w:adjustRightInd w:val="0"/>
              <w:snapToGrid w:val="0"/>
              <w:spacing w:after="0" w:line="408" w:lineRule="auto"/>
              <w:jc w:val="center"/>
              <w:rPr>
                <w:rFonts w:hint="eastAsia" w:ascii="仿宋" w:hAnsi="仿宋" w:eastAsia="仿宋"/>
                <w:bCs/>
                <w:snapToGrid w:val="0"/>
                <w:kern w:val="0"/>
                <w:sz w:val="18"/>
                <w:szCs w:val="21"/>
              </w:rPr>
            </w:pPr>
          </w:p>
        </w:tc>
        <w:tc>
          <w:tcPr>
            <w:tcW w:w="770" w:type="pct"/>
            <w:shd w:val="clear" w:color="auto" w:fill="auto"/>
            <w:vAlign w:val="center"/>
          </w:tcPr>
          <w:p w14:paraId="7DD06A20">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对项目实施情况的了解程度（2分）</w:t>
            </w:r>
          </w:p>
        </w:tc>
        <w:tc>
          <w:tcPr>
            <w:tcW w:w="1002" w:type="pct"/>
            <w:shd w:val="clear" w:color="auto" w:fill="auto"/>
            <w:vAlign w:val="center"/>
          </w:tcPr>
          <w:p w14:paraId="3F845459">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主管单位对项目的开展及实施情况是否了解。</w:t>
            </w:r>
          </w:p>
        </w:tc>
        <w:tc>
          <w:tcPr>
            <w:tcW w:w="1457" w:type="pct"/>
            <w:shd w:val="clear" w:color="auto" w:fill="auto"/>
            <w:vAlign w:val="center"/>
          </w:tcPr>
          <w:p w14:paraId="52A4A496">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评价要点：</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①是否充足了解项目的开展情况；</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②是否充足了解项目的实施的过程。</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一项不符扣1分，扣完为止。</w:t>
            </w:r>
          </w:p>
        </w:tc>
        <w:tc>
          <w:tcPr>
            <w:tcW w:w="234" w:type="pct"/>
            <w:shd w:val="clear" w:color="auto" w:fill="auto"/>
            <w:vAlign w:val="center"/>
          </w:tcPr>
          <w:p w14:paraId="114AE88F">
            <w:pPr>
              <w:adjustRightInd w:val="0"/>
              <w:snapToGrid w:val="0"/>
              <w:spacing w:after="0" w:line="408" w:lineRule="auto"/>
              <w:jc w:val="right"/>
              <w:rPr>
                <w:rFonts w:hint="eastAsia" w:ascii="仿宋" w:hAnsi="仿宋" w:eastAsia="仿宋"/>
                <w:bCs/>
                <w:snapToGrid w:val="0"/>
                <w:kern w:val="0"/>
                <w:sz w:val="18"/>
                <w:szCs w:val="21"/>
              </w:rPr>
            </w:pPr>
            <w:r>
              <w:rPr>
                <w:rFonts w:hint="eastAsia" w:ascii="仿宋" w:hAnsi="仿宋" w:eastAsia="仿宋"/>
                <w:bCs/>
                <w:snapToGrid w:val="0"/>
                <w:kern w:val="0"/>
                <w:sz w:val="18"/>
                <w:szCs w:val="21"/>
              </w:rPr>
              <w:t>2</w:t>
            </w:r>
          </w:p>
        </w:tc>
        <w:tc>
          <w:tcPr>
            <w:tcW w:w="233" w:type="pct"/>
            <w:shd w:val="clear" w:color="auto" w:fill="auto"/>
            <w:vAlign w:val="center"/>
          </w:tcPr>
          <w:p w14:paraId="01C8762B">
            <w:pPr>
              <w:adjustRightInd w:val="0"/>
              <w:snapToGrid w:val="0"/>
              <w:spacing w:after="0" w:line="408" w:lineRule="auto"/>
              <w:jc w:val="right"/>
              <w:rPr>
                <w:rFonts w:hint="eastAsia" w:ascii="仿宋" w:hAnsi="仿宋" w:eastAsia="仿宋"/>
                <w:bCs/>
                <w:snapToGrid w:val="0"/>
                <w:kern w:val="0"/>
                <w:sz w:val="18"/>
                <w:szCs w:val="21"/>
              </w:rPr>
            </w:pPr>
            <w:r>
              <w:rPr>
                <w:rFonts w:hint="eastAsia" w:ascii="仿宋" w:hAnsi="仿宋" w:eastAsia="仿宋"/>
                <w:bCs/>
                <w:snapToGrid w:val="0"/>
                <w:kern w:val="0"/>
                <w:sz w:val="18"/>
                <w:szCs w:val="21"/>
              </w:rPr>
              <w:t>1</w:t>
            </w:r>
          </w:p>
        </w:tc>
      </w:tr>
      <w:tr w14:paraId="0C55A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95" w:type="pct"/>
            <w:vMerge w:val="restart"/>
            <w:shd w:val="clear" w:color="auto" w:fill="auto"/>
            <w:vAlign w:val="center"/>
          </w:tcPr>
          <w:p w14:paraId="04CBA89C">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产出（30%）</w:t>
            </w:r>
          </w:p>
        </w:tc>
        <w:tc>
          <w:tcPr>
            <w:tcW w:w="809" w:type="pct"/>
            <w:vMerge w:val="restart"/>
            <w:shd w:val="clear" w:color="auto" w:fill="auto"/>
            <w:vAlign w:val="center"/>
          </w:tcPr>
          <w:p w14:paraId="14101C73">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产出数量（20分）</w:t>
            </w:r>
          </w:p>
        </w:tc>
        <w:tc>
          <w:tcPr>
            <w:tcW w:w="770" w:type="pct"/>
            <w:shd w:val="clear" w:color="auto" w:fill="auto"/>
            <w:vAlign w:val="center"/>
          </w:tcPr>
          <w:p w14:paraId="49202EF6">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整治道路排查隐患点的数量（4分）</w:t>
            </w:r>
          </w:p>
        </w:tc>
        <w:tc>
          <w:tcPr>
            <w:tcW w:w="1002" w:type="pct"/>
            <w:shd w:val="clear" w:color="auto" w:fill="auto"/>
            <w:vAlign w:val="center"/>
          </w:tcPr>
          <w:p w14:paraId="72B65C45">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本年度整治道路排查隐患点的数量，用于考核道路整治的努力程度。</w:t>
            </w:r>
          </w:p>
        </w:tc>
        <w:tc>
          <w:tcPr>
            <w:tcW w:w="1457" w:type="pct"/>
            <w:shd w:val="clear" w:color="auto" w:fill="auto"/>
            <w:vAlign w:val="center"/>
          </w:tcPr>
          <w:p w14:paraId="58FEB927">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评价要点：</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①排查隐患点≥50次，得4分；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②50次&gt;排查隐患点≥45次，得3分；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③45次&gt;排查隐患点≥40次，得2分；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④40次&gt;排查隐患点≥35次，得1分；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⑤30次&gt;排查隐患点，得0分。</w:t>
            </w:r>
          </w:p>
        </w:tc>
        <w:tc>
          <w:tcPr>
            <w:tcW w:w="234" w:type="pct"/>
            <w:shd w:val="clear" w:color="auto" w:fill="auto"/>
            <w:vAlign w:val="center"/>
          </w:tcPr>
          <w:p w14:paraId="3F11F133">
            <w:pPr>
              <w:adjustRightInd w:val="0"/>
              <w:snapToGrid w:val="0"/>
              <w:spacing w:after="0" w:line="408" w:lineRule="auto"/>
              <w:jc w:val="right"/>
              <w:rPr>
                <w:rFonts w:hint="eastAsia" w:ascii="仿宋" w:hAnsi="仿宋" w:eastAsia="仿宋"/>
                <w:bCs/>
                <w:snapToGrid w:val="0"/>
                <w:kern w:val="0"/>
                <w:sz w:val="18"/>
                <w:szCs w:val="21"/>
              </w:rPr>
            </w:pPr>
            <w:r>
              <w:rPr>
                <w:rFonts w:hint="eastAsia" w:ascii="仿宋" w:hAnsi="仿宋" w:eastAsia="仿宋"/>
                <w:bCs/>
                <w:snapToGrid w:val="0"/>
                <w:kern w:val="0"/>
                <w:sz w:val="18"/>
                <w:szCs w:val="21"/>
              </w:rPr>
              <w:t>4</w:t>
            </w:r>
          </w:p>
        </w:tc>
        <w:tc>
          <w:tcPr>
            <w:tcW w:w="233" w:type="pct"/>
            <w:shd w:val="clear" w:color="auto" w:fill="auto"/>
            <w:vAlign w:val="center"/>
          </w:tcPr>
          <w:p w14:paraId="2E5EF7D0">
            <w:pPr>
              <w:adjustRightInd w:val="0"/>
              <w:snapToGrid w:val="0"/>
              <w:spacing w:after="0" w:line="408" w:lineRule="auto"/>
              <w:jc w:val="right"/>
              <w:rPr>
                <w:rFonts w:hint="eastAsia" w:ascii="仿宋" w:hAnsi="仿宋" w:eastAsia="仿宋"/>
                <w:bCs/>
                <w:snapToGrid w:val="0"/>
                <w:kern w:val="0"/>
                <w:sz w:val="18"/>
                <w:szCs w:val="21"/>
              </w:rPr>
            </w:pPr>
            <w:r>
              <w:rPr>
                <w:rFonts w:hint="eastAsia" w:ascii="仿宋" w:hAnsi="仿宋" w:eastAsia="仿宋"/>
                <w:bCs/>
                <w:snapToGrid w:val="0"/>
                <w:kern w:val="0"/>
                <w:sz w:val="18"/>
                <w:szCs w:val="21"/>
              </w:rPr>
              <w:t>4</w:t>
            </w:r>
          </w:p>
        </w:tc>
      </w:tr>
      <w:tr w14:paraId="10283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95" w:type="pct"/>
            <w:vMerge w:val="continue"/>
            <w:shd w:val="clear" w:color="auto" w:fill="auto"/>
            <w:vAlign w:val="center"/>
          </w:tcPr>
          <w:p w14:paraId="588BC4D9">
            <w:pPr>
              <w:adjustRightInd w:val="0"/>
              <w:snapToGrid w:val="0"/>
              <w:spacing w:after="0" w:line="408" w:lineRule="auto"/>
              <w:jc w:val="center"/>
              <w:rPr>
                <w:rFonts w:hint="eastAsia" w:ascii="仿宋" w:hAnsi="仿宋" w:eastAsia="仿宋"/>
                <w:bCs/>
                <w:snapToGrid w:val="0"/>
                <w:kern w:val="0"/>
                <w:sz w:val="18"/>
                <w:szCs w:val="21"/>
              </w:rPr>
            </w:pPr>
          </w:p>
        </w:tc>
        <w:tc>
          <w:tcPr>
            <w:tcW w:w="809" w:type="pct"/>
            <w:vMerge w:val="continue"/>
            <w:shd w:val="clear" w:color="auto" w:fill="auto"/>
            <w:vAlign w:val="center"/>
          </w:tcPr>
          <w:p w14:paraId="050B9D77">
            <w:pPr>
              <w:adjustRightInd w:val="0"/>
              <w:snapToGrid w:val="0"/>
              <w:spacing w:after="0" w:line="408" w:lineRule="auto"/>
              <w:jc w:val="center"/>
              <w:rPr>
                <w:rFonts w:hint="eastAsia" w:ascii="仿宋" w:hAnsi="仿宋" w:eastAsia="仿宋"/>
                <w:bCs/>
                <w:snapToGrid w:val="0"/>
                <w:kern w:val="0"/>
                <w:sz w:val="18"/>
                <w:szCs w:val="21"/>
              </w:rPr>
            </w:pPr>
          </w:p>
        </w:tc>
        <w:tc>
          <w:tcPr>
            <w:tcW w:w="770" w:type="pct"/>
            <w:shd w:val="clear" w:color="auto" w:fill="auto"/>
            <w:vAlign w:val="center"/>
          </w:tcPr>
          <w:p w14:paraId="29A48F89">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交通事故死亡人数（4分）</w:t>
            </w:r>
          </w:p>
        </w:tc>
        <w:tc>
          <w:tcPr>
            <w:tcW w:w="1002" w:type="pct"/>
            <w:shd w:val="clear" w:color="auto" w:fill="auto"/>
            <w:vAlign w:val="center"/>
          </w:tcPr>
          <w:p w14:paraId="2923422E">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本年度在交通事故中死亡的人数。</w:t>
            </w:r>
          </w:p>
        </w:tc>
        <w:tc>
          <w:tcPr>
            <w:tcW w:w="1457" w:type="pct"/>
            <w:shd w:val="clear" w:color="auto" w:fill="auto"/>
            <w:vAlign w:val="center"/>
          </w:tcPr>
          <w:p w14:paraId="48AE9628">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评价要点：</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①死亡人数≤13人，得4分；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②13人﹤死亡人数≤15人，得3分；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③15人﹤死亡人数≤17人，得2分；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④17人﹤死亡人数≤19人，得1分；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⑤19人﹤死亡人数，得0分。</w:t>
            </w:r>
          </w:p>
        </w:tc>
        <w:tc>
          <w:tcPr>
            <w:tcW w:w="234" w:type="pct"/>
            <w:shd w:val="clear" w:color="auto" w:fill="auto"/>
            <w:vAlign w:val="center"/>
          </w:tcPr>
          <w:p w14:paraId="6CC36641">
            <w:pPr>
              <w:adjustRightInd w:val="0"/>
              <w:snapToGrid w:val="0"/>
              <w:spacing w:after="0" w:line="408" w:lineRule="auto"/>
              <w:jc w:val="right"/>
              <w:rPr>
                <w:rFonts w:hint="eastAsia" w:ascii="仿宋" w:hAnsi="仿宋" w:eastAsia="仿宋"/>
                <w:bCs/>
                <w:snapToGrid w:val="0"/>
                <w:kern w:val="0"/>
                <w:sz w:val="18"/>
                <w:szCs w:val="21"/>
              </w:rPr>
            </w:pPr>
            <w:r>
              <w:rPr>
                <w:rFonts w:hint="eastAsia" w:ascii="仿宋" w:hAnsi="仿宋" w:eastAsia="仿宋"/>
                <w:bCs/>
                <w:snapToGrid w:val="0"/>
                <w:kern w:val="0"/>
                <w:sz w:val="18"/>
                <w:szCs w:val="21"/>
              </w:rPr>
              <w:t>4</w:t>
            </w:r>
          </w:p>
        </w:tc>
        <w:tc>
          <w:tcPr>
            <w:tcW w:w="233" w:type="pct"/>
            <w:shd w:val="clear" w:color="auto" w:fill="auto"/>
            <w:vAlign w:val="center"/>
          </w:tcPr>
          <w:p w14:paraId="1F36B0C5">
            <w:pPr>
              <w:adjustRightInd w:val="0"/>
              <w:snapToGrid w:val="0"/>
              <w:spacing w:after="0" w:line="408" w:lineRule="auto"/>
              <w:jc w:val="right"/>
              <w:rPr>
                <w:rFonts w:hint="eastAsia" w:ascii="仿宋" w:hAnsi="仿宋" w:eastAsia="仿宋"/>
                <w:bCs/>
                <w:snapToGrid w:val="0"/>
                <w:kern w:val="0"/>
                <w:sz w:val="18"/>
                <w:szCs w:val="21"/>
              </w:rPr>
            </w:pPr>
            <w:r>
              <w:rPr>
                <w:rFonts w:hint="eastAsia" w:ascii="仿宋" w:hAnsi="仿宋" w:eastAsia="仿宋"/>
                <w:bCs/>
                <w:snapToGrid w:val="0"/>
                <w:kern w:val="0"/>
                <w:sz w:val="18"/>
                <w:szCs w:val="21"/>
              </w:rPr>
              <w:t>4</w:t>
            </w:r>
          </w:p>
        </w:tc>
      </w:tr>
      <w:tr w14:paraId="045C5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95" w:type="pct"/>
            <w:vMerge w:val="continue"/>
            <w:shd w:val="clear" w:color="auto" w:fill="auto"/>
            <w:vAlign w:val="center"/>
          </w:tcPr>
          <w:p w14:paraId="5DE13DDA">
            <w:pPr>
              <w:adjustRightInd w:val="0"/>
              <w:snapToGrid w:val="0"/>
              <w:spacing w:after="0" w:line="408" w:lineRule="auto"/>
              <w:jc w:val="center"/>
              <w:rPr>
                <w:rFonts w:hint="eastAsia" w:ascii="仿宋" w:hAnsi="仿宋" w:eastAsia="仿宋"/>
                <w:bCs/>
                <w:snapToGrid w:val="0"/>
                <w:kern w:val="0"/>
                <w:sz w:val="18"/>
                <w:szCs w:val="21"/>
              </w:rPr>
            </w:pPr>
          </w:p>
        </w:tc>
        <w:tc>
          <w:tcPr>
            <w:tcW w:w="809" w:type="pct"/>
            <w:vMerge w:val="continue"/>
            <w:shd w:val="clear" w:color="auto" w:fill="auto"/>
            <w:vAlign w:val="center"/>
          </w:tcPr>
          <w:p w14:paraId="250EAB44">
            <w:pPr>
              <w:adjustRightInd w:val="0"/>
              <w:snapToGrid w:val="0"/>
              <w:spacing w:after="0" w:line="408" w:lineRule="auto"/>
              <w:jc w:val="center"/>
              <w:rPr>
                <w:rFonts w:hint="eastAsia" w:ascii="仿宋" w:hAnsi="仿宋" w:eastAsia="仿宋"/>
                <w:bCs/>
                <w:snapToGrid w:val="0"/>
                <w:kern w:val="0"/>
                <w:sz w:val="18"/>
                <w:szCs w:val="21"/>
              </w:rPr>
            </w:pPr>
          </w:p>
        </w:tc>
        <w:tc>
          <w:tcPr>
            <w:tcW w:w="770" w:type="pct"/>
            <w:shd w:val="clear" w:color="auto" w:fill="auto"/>
            <w:vAlign w:val="center"/>
          </w:tcPr>
          <w:p w14:paraId="3ECD05BA">
            <w:pPr>
              <w:adjustRightInd w:val="0"/>
              <w:snapToGrid w:val="0"/>
              <w:spacing w:after="0" w:line="408" w:lineRule="auto"/>
              <w:rPr>
                <w:rFonts w:hint="eastAsia" w:ascii="仿宋" w:hAnsi="仿宋" w:eastAsia="仿宋"/>
                <w:bCs/>
                <w:snapToGrid w:val="0"/>
                <w:kern w:val="0"/>
                <w:sz w:val="18"/>
                <w:szCs w:val="21"/>
                <w:lang w:val="en-US" w:eastAsia="zh-CN"/>
              </w:rPr>
            </w:pPr>
            <w:r>
              <w:rPr>
                <w:rFonts w:hint="eastAsia" w:ascii="仿宋" w:hAnsi="仿宋" w:eastAsia="仿宋"/>
                <w:bCs/>
                <w:snapToGrid w:val="0"/>
                <w:kern w:val="0"/>
                <w:sz w:val="18"/>
                <w:szCs w:val="21"/>
              </w:rPr>
              <w:t>交通事故处置平均时间(4分）</w:t>
            </w:r>
          </w:p>
        </w:tc>
        <w:tc>
          <w:tcPr>
            <w:tcW w:w="1002" w:type="pct"/>
            <w:shd w:val="clear" w:color="auto" w:fill="auto"/>
            <w:vAlign w:val="center"/>
          </w:tcPr>
          <w:p w14:paraId="5A6188FC">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本年度交通事故处置的平均时间达到多少分钟。</w:t>
            </w:r>
          </w:p>
        </w:tc>
        <w:tc>
          <w:tcPr>
            <w:tcW w:w="1457" w:type="pct"/>
            <w:shd w:val="clear" w:color="auto" w:fill="auto"/>
            <w:vAlign w:val="center"/>
          </w:tcPr>
          <w:p w14:paraId="6AD11245">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评价要点：</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①平均时间≤35分钟，得4分；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②35分钟﹤平均时间≤40分钟，得3分；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③40分钟﹤平均时间≤45分钟，得2分；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④45分钟﹤平均时间≤50分钟，得1分；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⑤50分钟﹤平均时间，得0分。</w:t>
            </w:r>
          </w:p>
        </w:tc>
        <w:tc>
          <w:tcPr>
            <w:tcW w:w="234" w:type="pct"/>
            <w:shd w:val="clear" w:color="auto" w:fill="auto"/>
            <w:vAlign w:val="center"/>
          </w:tcPr>
          <w:p w14:paraId="71B6E264">
            <w:pPr>
              <w:adjustRightInd w:val="0"/>
              <w:snapToGrid w:val="0"/>
              <w:spacing w:after="0" w:line="408" w:lineRule="auto"/>
              <w:jc w:val="right"/>
              <w:rPr>
                <w:rFonts w:hint="eastAsia" w:ascii="仿宋" w:hAnsi="仿宋" w:eastAsia="仿宋"/>
                <w:bCs/>
                <w:snapToGrid w:val="0"/>
                <w:kern w:val="0"/>
                <w:sz w:val="18"/>
                <w:szCs w:val="21"/>
              </w:rPr>
            </w:pPr>
            <w:r>
              <w:rPr>
                <w:rFonts w:hint="eastAsia" w:ascii="仿宋" w:hAnsi="仿宋" w:eastAsia="仿宋"/>
                <w:bCs/>
                <w:snapToGrid w:val="0"/>
                <w:kern w:val="0"/>
                <w:sz w:val="18"/>
                <w:szCs w:val="21"/>
              </w:rPr>
              <w:t>4</w:t>
            </w:r>
          </w:p>
        </w:tc>
        <w:tc>
          <w:tcPr>
            <w:tcW w:w="233" w:type="pct"/>
            <w:shd w:val="clear" w:color="auto" w:fill="auto"/>
            <w:vAlign w:val="center"/>
          </w:tcPr>
          <w:p w14:paraId="101803F4">
            <w:pPr>
              <w:adjustRightInd w:val="0"/>
              <w:snapToGrid w:val="0"/>
              <w:spacing w:after="0" w:line="408" w:lineRule="auto"/>
              <w:jc w:val="right"/>
              <w:rPr>
                <w:rFonts w:hint="eastAsia" w:ascii="仿宋" w:hAnsi="仿宋" w:eastAsia="仿宋"/>
                <w:bCs/>
                <w:snapToGrid w:val="0"/>
                <w:kern w:val="0"/>
                <w:sz w:val="18"/>
                <w:szCs w:val="21"/>
              </w:rPr>
            </w:pPr>
            <w:r>
              <w:rPr>
                <w:rFonts w:hint="eastAsia" w:ascii="仿宋" w:hAnsi="仿宋" w:eastAsia="仿宋"/>
                <w:bCs/>
                <w:snapToGrid w:val="0"/>
                <w:kern w:val="0"/>
                <w:sz w:val="18"/>
                <w:szCs w:val="21"/>
              </w:rPr>
              <w:t>4</w:t>
            </w:r>
          </w:p>
        </w:tc>
      </w:tr>
      <w:tr w14:paraId="21FFE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95" w:type="pct"/>
            <w:vMerge w:val="continue"/>
            <w:shd w:val="clear" w:color="auto" w:fill="auto"/>
            <w:vAlign w:val="center"/>
          </w:tcPr>
          <w:p w14:paraId="1FCDFC81">
            <w:pPr>
              <w:adjustRightInd w:val="0"/>
              <w:snapToGrid w:val="0"/>
              <w:spacing w:after="0" w:line="408" w:lineRule="auto"/>
              <w:jc w:val="center"/>
              <w:rPr>
                <w:rFonts w:hint="eastAsia" w:ascii="仿宋" w:hAnsi="仿宋" w:eastAsia="仿宋"/>
                <w:bCs/>
                <w:snapToGrid w:val="0"/>
                <w:kern w:val="0"/>
                <w:sz w:val="18"/>
                <w:szCs w:val="21"/>
              </w:rPr>
            </w:pPr>
          </w:p>
        </w:tc>
        <w:tc>
          <w:tcPr>
            <w:tcW w:w="809" w:type="pct"/>
            <w:vMerge w:val="continue"/>
            <w:shd w:val="clear" w:color="auto" w:fill="auto"/>
            <w:vAlign w:val="center"/>
          </w:tcPr>
          <w:p w14:paraId="3C5C9829">
            <w:pPr>
              <w:adjustRightInd w:val="0"/>
              <w:snapToGrid w:val="0"/>
              <w:spacing w:after="0" w:line="408" w:lineRule="auto"/>
              <w:jc w:val="center"/>
              <w:rPr>
                <w:rFonts w:hint="eastAsia" w:ascii="仿宋" w:hAnsi="仿宋" w:eastAsia="仿宋"/>
                <w:bCs/>
                <w:snapToGrid w:val="0"/>
                <w:kern w:val="0"/>
                <w:sz w:val="18"/>
                <w:szCs w:val="21"/>
              </w:rPr>
            </w:pPr>
          </w:p>
        </w:tc>
        <w:tc>
          <w:tcPr>
            <w:tcW w:w="770" w:type="pct"/>
            <w:shd w:val="clear" w:color="auto" w:fill="auto"/>
            <w:vAlign w:val="center"/>
          </w:tcPr>
          <w:p w14:paraId="474638AE">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交通事故数量（4分）</w:t>
            </w:r>
          </w:p>
        </w:tc>
        <w:tc>
          <w:tcPr>
            <w:tcW w:w="1002" w:type="pct"/>
            <w:shd w:val="clear" w:color="auto" w:fill="auto"/>
            <w:vAlign w:val="center"/>
          </w:tcPr>
          <w:p w14:paraId="6BF9589B">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本年度发生道路交通事故的次数。</w:t>
            </w:r>
          </w:p>
        </w:tc>
        <w:tc>
          <w:tcPr>
            <w:tcW w:w="1457" w:type="pct"/>
            <w:shd w:val="clear" w:color="auto" w:fill="auto"/>
            <w:vAlign w:val="center"/>
          </w:tcPr>
          <w:p w14:paraId="57C913A4">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评价要点：</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①事故数量≤30起，得4分；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②30起﹤事故数量≤35起，得3分；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③35起﹤事故数量≤40起，得2分；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④40起﹤事故数量≤45起，得1分；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⑤45起﹤事故数量，得0分。</w:t>
            </w:r>
          </w:p>
        </w:tc>
        <w:tc>
          <w:tcPr>
            <w:tcW w:w="234" w:type="pct"/>
            <w:shd w:val="clear" w:color="auto" w:fill="auto"/>
            <w:vAlign w:val="center"/>
          </w:tcPr>
          <w:p w14:paraId="5803529E">
            <w:pPr>
              <w:adjustRightInd w:val="0"/>
              <w:snapToGrid w:val="0"/>
              <w:spacing w:after="0" w:line="408" w:lineRule="auto"/>
              <w:jc w:val="right"/>
              <w:rPr>
                <w:rFonts w:hint="eastAsia" w:ascii="仿宋" w:hAnsi="仿宋" w:eastAsia="仿宋"/>
                <w:bCs/>
                <w:snapToGrid w:val="0"/>
                <w:kern w:val="0"/>
                <w:sz w:val="18"/>
                <w:szCs w:val="21"/>
              </w:rPr>
            </w:pPr>
            <w:r>
              <w:rPr>
                <w:rFonts w:hint="eastAsia" w:ascii="仿宋" w:hAnsi="仿宋" w:eastAsia="仿宋"/>
                <w:bCs/>
                <w:snapToGrid w:val="0"/>
                <w:kern w:val="0"/>
                <w:sz w:val="18"/>
                <w:szCs w:val="21"/>
              </w:rPr>
              <w:t>4</w:t>
            </w:r>
          </w:p>
        </w:tc>
        <w:tc>
          <w:tcPr>
            <w:tcW w:w="233" w:type="pct"/>
            <w:shd w:val="clear" w:color="auto" w:fill="auto"/>
            <w:vAlign w:val="center"/>
          </w:tcPr>
          <w:p w14:paraId="128561A6">
            <w:pPr>
              <w:adjustRightInd w:val="0"/>
              <w:snapToGrid w:val="0"/>
              <w:spacing w:after="0" w:line="408" w:lineRule="auto"/>
              <w:jc w:val="right"/>
              <w:rPr>
                <w:rFonts w:hint="eastAsia" w:ascii="仿宋" w:hAnsi="仿宋" w:eastAsia="仿宋"/>
                <w:bCs/>
                <w:snapToGrid w:val="0"/>
                <w:kern w:val="0"/>
                <w:sz w:val="18"/>
                <w:szCs w:val="21"/>
              </w:rPr>
            </w:pPr>
            <w:r>
              <w:rPr>
                <w:rFonts w:hint="eastAsia" w:ascii="仿宋" w:hAnsi="仿宋" w:eastAsia="仿宋"/>
                <w:bCs/>
                <w:snapToGrid w:val="0"/>
                <w:kern w:val="0"/>
                <w:sz w:val="18"/>
                <w:szCs w:val="21"/>
              </w:rPr>
              <w:t>4</w:t>
            </w:r>
          </w:p>
        </w:tc>
      </w:tr>
      <w:tr w14:paraId="64473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95" w:type="pct"/>
            <w:vMerge w:val="continue"/>
            <w:shd w:val="clear" w:color="auto" w:fill="auto"/>
            <w:vAlign w:val="center"/>
          </w:tcPr>
          <w:p w14:paraId="23B82D2B">
            <w:pPr>
              <w:adjustRightInd w:val="0"/>
              <w:snapToGrid w:val="0"/>
              <w:spacing w:after="0" w:line="408" w:lineRule="auto"/>
              <w:jc w:val="center"/>
              <w:rPr>
                <w:rFonts w:hint="eastAsia" w:ascii="仿宋" w:hAnsi="仿宋" w:eastAsia="仿宋"/>
                <w:bCs/>
                <w:snapToGrid w:val="0"/>
                <w:kern w:val="0"/>
                <w:sz w:val="18"/>
                <w:szCs w:val="21"/>
              </w:rPr>
            </w:pPr>
          </w:p>
        </w:tc>
        <w:tc>
          <w:tcPr>
            <w:tcW w:w="809" w:type="pct"/>
            <w:vMerge w:val="continue"/>
            <w:shd w:val="clear" w:color="auto" w:fill="auto"/>
            <w:vAlign w:val="center"/>
          </w:tcPr>
          <w:p w14:paraId="6BA99C84">
            <w:pPr>
              <w:adjustRightInd w:val="0"/>
              <w:snapToGrid w:val="0"/>
              <w:spacing w:after="0" w:line="408" w:lineRule="auto"/>
              <w:jc w:val="center"/>
              <w:rPr>
                <w:rFonts w:hint="eastAsia" w:ascii="仿宋" w:hAnsi="仿宋" w:eastAsia="仿宋"/>
                <w:bCs/>
                <w:snapToGrid w:val="0"/>
                <w:kern w:val="0"/>
                <w:sz w:val="18"/>
                <w:szCs w:val="21"/>
              </w:rPr>
            </w:pPr>
          </w:p>
        </w:tc>
        <w:tc>
          <w:tcPr>
            <w:tcW w:w="770" w:type="pct"/>
            <w:shd w:val="clear" w:color="auto" w:fill="auto"/>
            <w:vAlign w:val="center"/>
          </w:tcPr>
          <w:p w14:paraId="64E6623F">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道路交通事故财产损失的金额（4分）</w:t>
            </w:r>
          </w:p>
        </w:tc>
        <w:tc>
          <w:tcPr>
            <w:tcW w:w="1002" w:type="pct"/>
            <w:shd w:val="clear" w:color="auto" w:fill="auto"/>
            <w:vAlign w:val="center"/>
          </w:tcPr>
          <w:p w14:paraId="7553F31C">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本年度发生道路交通事故导致发生财产损失的金额量。</w:t>
            </w:r>
          </w:p>
        </w:tc>
        <w:tc>
          <w:tcPr>
            <w:tcW w:w="1457" w:type="pct"/>
            <w:shd w:val="clear" w:color="auto" w:fill="auto"/>
            <w:vAlign w:val="center"/>
          </w:tcPr>
          <w:p w14:paraId="30A26C6A">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评价要点：</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①损失金额≤10000元，得4分；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②10000元﹤损失金额≤11000元，得3分；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③11000元﹤损失金额≤12000元，得2分；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④12000元﹤损失金额≤13000元，得1分；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⑤14000元﹤损失金额，得0分。</w:t>
            </w:r>
          </w:p>
        </w:tc>
        <w:tc>
          <w:tcPr>
            <w:tcW w:w="234" w:type="pct"/>
            <w:shd w:val="clear" w:color="auto" w:fill="auto"/>
            <w:vAlign w:val="center"/>
          </w:tcPr>
          <w:p w14:paraId="6225E011">
            <w:pPr>
              <w:adjustRightInd w:val="0"/>
              <w:snapToGrid w:val="0"/>
              <w:spacing w:after="0" w:line="408" w:lineRule="auto"/>
              <w:jc w:val="right"/>
              <w:rPr>
                <w:rFonts w:hint="eastAsia" w:ascii="仿宋" w:hAnsi="仿宋" w:eastAsia="仿宋"/>
                <w:bCs/>
                <w:snapToGrid w:val="0"/>
                <w:kern w:val="0"/>
                <w:sz w:val="18"/>
                <w:szCs w:val="21"/>
              </w:rPr>
            </w:pPr>
            <w:r>
              <w:rPr>
                <w:rFonts w:hint="eastAsia" w:ascii="仿宋" w:hAnsi="仿宋" w:eastAsia="仿宋"/>
                <w:bCs/>
                <w:snapToGrid w:val="0"/>
                <w:kern w:val="0"/>
                <w:sz w:val="18"/>
                <w:szCs w:val="21"/>
              </w:rPr>
              <w:t>4</w:t>
            </w:r>
          </w:p>
        </w:tc>
        <w:tc>
          <w:tcPr>
            <w:tcW w:w="233" w:type="pct"/>
            <w:shd w:val="clear" w:color="auto" w:fill="auto"/>
            <w:vAlign w:val="center"/>
          </w:tcPr>
          <w:p w14:paraId="6211E9E7">
            <w:pPr>
              <w:adjustRightInd w:val="0"/>
              <w:snapToGrid w:val="0"/>
              <w:spacing w:after="0" w:line="408" w:lineRule="auto"/>
              <w:jc w:val="right"/>
              <w:rPr>
                <w:rFonts w:hint="eastAsia" w:ascii="仿宋" w:hAnsi="仿宋" w:eastAsia="仿宋"/>
                <w:bCs/>
                <w:snapToGrid w:val="0"/>
                <w:kern w:val="0"/>
                <w:sz w:val="18"/>
                <w:szCs w:val="21"/>
              </w:rPr>
            </w:pPr>
            <w:r>
              <w:rPr>
                <w:rFonts w:hint="eastAsia" w:ascii="仿宋" w:hAnsi="仿宋" w:eastAsia="仿宋"/>
                <w:bCs/>
                <w:snapToGrid w:val="0"/>
                <w:kern w:val="0"/>
                <w:sz w:val="18"/>
                <w:szCs w:val="21"/>
              </w:rPr>
              <w:t>4</w:t>
            </w:r>
          </w:p>
        </w:tc>
      </w:tr>
      <w:tr w14:paraId="281C5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95" w:type="pct"/>
            <w:vMerge w:val="continue"/>
            <w:shd w:val="clear" w:color="auto" w:fill="auto"/>
            <w:vAlign w:val="center"/>
          </w:tcPr>
          <w:p w14:paraId="60080C1E">
            <w:pPr>
              <w:adjustRightInd w:val="0"/>
              <w:snapToGrid w:val="0"/>
              <w:spacing w:after="0" w:line="408" w:lineRule="auto"/>
              <w:jc w:val="center"/>
              <w:rPr>
                <w:rFonts w:hint="eastAsia" w:ascii="仿宋" w:hAnsi="仿宋" w:eastAsia="仿宋"/>
                <w:bCs/>
                <w:snapToGrid w:val="0"/>
                <w:kern w:val="0"/>
                <w:sz w:val="18"/>
                <w:szCs w:val="21"/>
              </w:rPr>
            </w:pPr>
          </w:p>
        </w:tc>
        <w:tc>
          <w:tcPr>
            <w:tcW w:w="809" w:type="pct"/>
            <w:vMerge w:val="restart"/>
            <w:shd w:val="clear" w:color="auto" w:fill="auto"/>
            <w:vAlign w:val="center"/>
          </w:tcPr>
          <w:p w14:paraId="2FC5BFC1">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产出质量（8分）</w:t>
            </w:r>
          </w:p>
        </w:tc>
        <w:tc>
          <w:tcPr>
            <w:tcW w:w="770" w:type="pct"/>
            <w:shd w:val="clear" w:color="auto" w:fill="auto"/>
            <w:vAlign w:val="center"/>
          </w:tcPr>
          <w:p w14:paraId="505A1552">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项目验收合格率情况（2分）</w:t>
            </w:r>
          </w:p>
        </w:tc>
        <w:tc>
          <w:tcPr>
            <w:tcW w:w="1002" w:type="pct"/>
            <w:shd w:val="clear" w:color="auto" w:fill="auto"/>
            <w:vAlign w:val="center"/>
          </w:tcPr>
          <w:p w14:paraId="2AF0CC33">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项目是否全部验收合格。</w:t>
            </w:r>
          </w:p>
        </w:tc>
        <w:tc>
          <w:tcPr>
            <w:tcW w:w="1457" w:type="pct"/>
            <w:shd w:val="clear" w:color="auto" w:fill="auto"/>
            <w:vAlign w:val="center"/>
          </w:tcPr>
          <w:p w14:paraId="72D67918">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评价要点：</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①验收合格率=100%，得2分；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②100%&gt;验收合格率≥90%，得1分；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③90%&gt;验收合格率，得0分。</w:t>
            </w:r>
          </w:p>
        </w:tc>
        <w:tc>
          <w:tcPr>
            <w:tcW w:w="234" w:type="pct"/>
            <w:shd w:val="clear" w:color="auto" w:fill="auto"/>
            <w:vAlign w:val="center"/>
          </w:tcPr>
          <w:p w14:paraId="28F0933E">
            <w:pPr>
              <w:adjustRightInd w:val="0"/>
              <w:snapToGrid w:val="0"/>
              <w:spacing w:after="0" w:line="408" w:lineRule="auto"/>
              <w:jc w:val="right"/>
              <w:rPr>
                <w:rFonts w:hint="eastAsia" w:ascii="仿宋" w:hAnsi="仿宋" w:eastAsia="仿宋"/>
                <w:bCs/>
                <w:snapToGrid w:val="0"/>
                <w:kern w:val="0"/>
                <w:sz w:val="18"/>
                <w:szCs w:val="21"/>
              </w:rPr>
            </w:pPr>
            <w:r>
              <w:rPr>
                <w:rFonts w:hint="eastAsia" w:ascii="仿宋" w:hAnsi="仿宋" w:eastAsia="仿宋"/>
                <w:bCs/>
                <w:snapToGrid w:val="0"/>
                <w:kern w:val="0"/>
                <w:sz w:val="18"/>
                <w:szCs w:val="21"/>
              </w:rPr>
              <w:t>2</w:t>
            </w:r>
          </w:p>
        </w:tc>
        <w:tc>
          <w:tcPr>
            <w:tcW w:w="233" w:type="pct"/>
            <w:shd w:val="clear" w:color="auto" w:fill="auto"/>
            <w:vAlign w:val="center"/>
          </w:tcPr>
          <w:p w14:paraId="304D7F60">
            <w:pPr>
              <w:adjustRightInd w:val="0"/>
              <w:snapToGrid w:val="0"/>
              <w:spacing w:after="0" w:line="408" w:lineRule="auto"/>
              <w:jc w:val="right"/>
              <w:rPr>
                <w:rFonts w:hint="eastAsia" w:ascii="仿宋" w:hAnsi="仿宋" w:eastAsia="仿宋"/>
                <w:bCs/>
                <w:snapToGrid w:val="0"/>
                <w:kern w:val="0"/>
                <w:sz w:val="18"/>
                <w:szCs w:val="21"/>
              </w:rPr>
            </w:pPr>
            <w:r>
              <w:rPr>
                <w:rFonts w:hint="eastAsia" w:ascii="仿宋" w:hAnsi="仿宋" w:eastAsia="仿宋"/>
                <w:bCs/>
                <w:snapToGrid w:val="0"/>
                <w:kern w:val="0"/>
                <w:sz w:val="18"/>
                <w:szCs w:val="21"/>
              </w:rPr>
              <w:t>2</w:t>
            </w:r>
          </w:p>
        </w:tc>
      </w:tr>
      <w:tr w14:paraId="54855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95" w:type="pct"/>
            <w:vMerge w:val="continue"/>
            <w:shd w:val="clear" w:color="auto" w:fill="auto"/>
            <w:vAlign w:val="center"/>
          </w:tcPr>
          <w:p w14:paraId="5B797559">
            <w:pPr>
              <w:adjustRightInd w:val="0"/>
              <w:snapToGrid w:val="0"/>
              <w:spacing w:after="0" w:line="408" w:lineRule="auto"/>
              <w:jc w:val="center"/>
              <w:rPr>
                <w:rFonts w:hint="eastAsia" w:ascii="仿宋" w:hAnsi="仿宋" w:eastAsia="仿宋"/>
                <w:bCs/>
                <w:snapToGrid w:val="0"/>
                <w:kern w:val="0"/>
                <w:sz w:val="18"/>
                <w:szCs w:val="21"/>
              </w:rPr>
            </w:pPr>
          </w:p>
        </w:tc>
        <w:tc>
          <w:tcPr>
            <w:tcW w:w="809" w:type="pct"/>
            <w:vMerge w:val="continue"/>
            <w:shd w:val="clear" w:color="auto" w:fill="auto"/>
            <w:vAlign w:val="center"/>
          </w:tcPr>
          <w:p w14:paraId="5D97CFBE">
            <w:pPr>
              <w:adjustRightInd w:val="0"/>
              <w:snapToGrid w:val="0"/>
              <w:spacing w:after="0" w:line="408" w:lineRule="auto"/>
              <w:jc w:val="center"/>
              <w:rPr>
                <w:rFonts w:hint="eastAsia" w:ascii="仿宋" w:hAnsi="仿宋" w:eastAsia="仿宋"/>
                <w:bCs/>
                <w:snapToGrid w:val="0"/>
                <w:kern w:val="0"/>
                <w:sz w:val="18"/>
                <w:szCs w:val="21"/>
              </w:rPr>
            </w:pPr>
          </w:p>
        </w:tc>
        <w:tc>
          <w:tcPr>
            <w:tcW w:w="770" w:type="pct"/>
            <w:shd w:val="clear" w:color="auto" w:fill="auto"/>
            <w:vAlign w:val="center"/>
          </w:tcPr>
          <w:p w14:paraId="240981E5">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项目验收的规范性（4分）</w:t>
            </w:r>
          </w:p>
        </w:tc>
        <w:tc>
          <w:tcPr>
            <w:tcW w:w="1002" w:type="pct"/>
            <w:shd w:val="clear" w:color="auto" w:fill="auto"/>
            <w:vAlign w:val="center"/>
          </w:tcPr>
          <w:p w14:paraId="1BC8E7D0">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项目的验收是否遵循《建设工程施工质量验收统一标准》，是否有相关单位的验收签章，验收过程是否合规。</w:t>
            </w:r>
          </w:p>
        </w:tc>
        <w:tc>
          <w:tcPr>
            <w:tcW w:w="1457" w:type="pct"/>
            <w:shd w:val="clear" w:color="auto" w:fill="auto"/>
            <w:vAlign w:val="center"/>
          </w:tcPr>
          <w:p w14:paraId="0571E431">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评价要点：</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①是否有验收单；</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②验收单是否填写竣工日期及验收日期；</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③验收单填写是否规范；</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④验收单是否有相关责任单位签字盖章。</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一项不符扣1分，扣完为止。</w:t>
            </w:r>
          </w:p>
        </w:tc>
        <w:tc>
          <w:tcPr>
            <w:tcW w:w="234" w:type="pct"/>
            <w:shd w:val="clear" w:color="auto" w:fill="auto"/>
            <w:vAlign w:val="center"/>
          </w:tcPr>
          <w:p w14:paraId="7D4BE62B">
            <w:pPr>
              <w:adjustRightInd w:val="0"/>
              <w:snapToGrid w:val="0"/>
              <w:spacing w:after="0" w:line="408" w:lineRule="auto"/>
              <w:jc w:val="right"/>
              <w:rPr>
                <w:rFonts w:hint="eastAsia" w:ascii="仿宋" w:hAnsi="仿宋" w:eastAsia="仿宋"/>
                <w:bCs/>
                <w:snapToGrid w:val="0"/>
                <w:kern w:val="0"/>
                <w:sz w:val="18"/>
                <w:szCs w:val="21"/>
              </w:rPr>
            </w:pPr>
            <w:r>
              <w:rPr>
                <w:rFonts w:hint="eastAsia" w:ascii="仿宋" w:hAnsi="仿宋" w:eastAsia="仿宋"/>
                <w:bCs/>
                <w:snapToGrid w:val="0"/>
                <w:kern w:val="0"/>
                <w:sz w:val="18"/>
                <w:szCs w:val="21"/>
              </w:rPr>
              <w:t>4</w:t>
            </w:r>
          </w:p>
        </w:tc>
        <w:tc>
          <w:tcPr>
            <w:tcW w:w="233" w:type="pct"/>
            <w:shd w:val="clear" w:color="auto" w:fill="auto"/>
            <w:vAlign w:val="center"/>
          </w:tcPr>
          <w:p w14:paraId="63C9EC91">
            <w:pPr>
              <w:adjustRightInd w:val="0"/>
              <w:snapToGrid w:val="0"/>
              <w:spacing w:after="0" w:line="408" w:lineRule="auto"/>
              <w:jc w:val="right"/>
              <w:rPr>
                <w:rFonts w:hint="eastAsia" w:ascii="仿宋" w:hAnsi="仿宋" w:eastAsia="仿宋"/>
                <w:bCs/>
                <w:snapToGrid w:val="0"/>
                <w:kern w:val="0"/>
                <w:sz w:val="18"/>
                <w:szCs w:val="21"/>
              </w:rPr>
            </w:pPr>
            <w:r>
              <w:rPr>
                <w:rFonts w:hint="eastAsia" w:ascii="仿宋" w:hAnsi="仿宋" w:eastAsia="仿宋"/>
                <w:bCs/>
                <w:snapToGrid w:val="0"/>
                <w:kern w:val="0"/>
                <w:sz w:val="18"/>
                <w:szCs w:val="21"/>
              </w:rPr>
              <w:t>2</w:t>
            </w:r>
          </w:p>
        </w:tc>
      </w:tr>
      <w:tr w14:paraId="41133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95" w:type="pct"/>
            <w:vMerge w:val="continue"/>
            <w:shd w:val="clear" w:color="auto" w:fill="auto"/>
            <w:vAlign w:val="center"/>
          </w:tcPr>
          <w:p w14:paraId="4D6CA2F1">
            <w:pPr>
              <w:adjustRightInd w:val="0"/>
              <w:snapToGrid w:val="0"/>
              <w:spacing w:after="0" w:line="408" w:lineRule="auto"/>
              <w:jc w:val="center"/>
              <w:rPr>
                <w:rFonts w:hint="eastAsia" w:ascii="仿宋" w:hAnsi="仿宋" w:eastAsia="仿宋"/>
                <w:bCs/>
                <w:snapToGrid w:val="0"/>
                <w:kern w:val="0"/>
                <w:sz w:val="18"/>
                <w:szCs w:val="21"/>
              </w:rPr>
            </w:pPr>
          </w:p>
        </w:tc>
        <w:tc>
          <w:tcPr>
            <w:tcW w:w="809" w:type="pct"/>
            <w:vMerge w:val="continue"/>
            <w:shd w:val="clear" w:color="auto" w:fill="auto"/>
            <w:vAlign w:val="center"/>
          </w:tcPr>
          <w:p w14:paraId="5BB3D715">
            <w:pPr>
              <w:adjustRightInd w:val="0"/>
              <w:snapToGrid w:val="0"/>
              <w:spacing w:after="0" w:line="408" w:lineRule="auto"/>
              <w:jc w:val="center"/>
              <w:rPr>
                <w:rFonts w:hint="eastAsia" w:ascii="仿宋" w:hAnsi="仿宋" w:eastAsia="仿宋"/>
                <w:bCs/>
                <w:snapToGrid w:val="0"/>
                <w:kern w:val="0"/>
                <w:sz w:val="18"/>
                <w:szCs w:val="21"/>
              </w:rPr>
            </w:pPr>
          </w:p>
        </w:tc>
        <w:tc>
          <w:tcPr>
            <w:tcW w:w="770" w:type="pct"/>
            <w:shd w:val="clear" w:color="auto" w:fill="auto"/>
            <w:vAlign w:val="center"/>
          </w:tcPr>
          <w:p w14:paraId="1D4F312C">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对交通设施的维护情况（2分）</w:t>
            </w:r>
          </w:p>
        </w:tc>
        <w:tc>
          <w:tcPr>
            <w:tcW w:w="1002" w:type="pct"/>
            <w:shd w:val="clear" w:color="auto" w:fill="auto"/>
            <w:vAlign w:val="center"/>
          </w:tcPr>
          <w:p w14:paraId="021E3815">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在项目建设完工后是否定期对交通设施进行检查，维护，保养。</w:t>
            </w:r>
          </w:p>
        </w:tc>
        <w:tc>
          <w:tcPr>
            <w:tcW w:w="1457" w:type="pct"/>
            <w:shd w:val="clear" w:color="auto" w:fill="auto"/>
            <w:vAlign w:val="center"/>
          </w:tcPr>
          <w:p w14:paraId="5C5A41F6">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评价要点：</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①是否有定期对交通设施进行开展巡查工作；</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②是否有定期对交通设施进行开展维护工作；</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一项不符扣1分，扣完为止。</w:t>
            </w:r>
          </w:p>
        </w:tc>
        <w:tc>
          <w:tcPr>
            <w:tcW w:w="234" w:type="pct"/>
            <w:shd w:val="clear" w:color="auto" w:fill="auto"/>
            <w:vAlign w:val="center"/>
          </w:tcPr>
          <w:p w14:paraId="0DA16D63">
            <w:pPr>
              <w:adjustRightInd w:val="0"/>
              <w:snapToGrid w:val="0"/>
              <w:spacing w:after="0" w:line="408" w:lineRule="auto"/>
              <w:jc w:val="right"/>
              <w:rPr>
                <w:rFonts w:hint="eastAsia" w:ascii="仿宋" w:hAnsi="仿宋" w:eastAsia="仿宋"/>
                <w:bCs/>
                <w:snapToGrid w:val="0"/>
                <w:kern w:val="0"/>
                <w:sz w:val="18"/>
                <w:szCs w:val="21"/>
              </w:rPr>
            </w:pPr>
            <w:r>
              <w:rPr>
                <w:rFonts w:hint="eastAsia" w:ascii="仿宋" w:hAnsi="仿宋" w:eastAsia="仿宋"/>
                <w:bCs/>
                <w:snapToGrid w:val="0"/>
                <w:kern w:val="0"/>
                <w:sz w:val="18"/>
                <w:szCs w:val="21"/>
              </w:rPr>
              <w:t>2</w:t>
            </w:r>
          </w:p>
        </w:tc>
        <w:tc>
          <w:tcPr>
            <w:tcW w:w="233" w:type="pct"/>
            <w:shd w:val="clear" w:color="auto" w:fill="auto"/>
            <w:vAlign w:val="center"/>
          </w:tcPr>
          <w:p w14:paraId="04EE327B">
            <w:pPr>
              <w:adjustRightInd w:val="0"/>
              <w:snapToGrid w:val="0"/>
              <w:spacing w:after="0" w:line="408" w:lineRule="auto"/>
              <w:jc w:val="right"/>
              <w:rPr>
                <w:rFonts w:hint="eastAsia" w:ascii="仿宋" w:hAnsi="仿宋" w:eastAsia="仿宋"/>
                <w:bCs/>
                <w:snapToGrid w:val="0"/>
                <w:kern w:val="0"/>
                <w:sz w:val="18"/>
                <w:szCs w:val="21"/>
              </w:rPr>
            </w:pPr>
            <w:r>
              <w:rPr>
                <w:rFonts w:hint="eastAsia" w:ascii="仿宋" w:hAnsi="仿宋" w:eastAsia="仿宋"/>
                <w:bCs/>
                <w:snapToGrid w:val="0"/>
                <w:kern w:val="0"/>
                <w:sz w:val="18"/>
                <w:szCs w:val="21"/>
              </w:rPr>
              <w:t>1</w:t>
            </w:r>
          </w:p>
        </w:tc>
      </w:tr>
      <w:tr w14:paraId="5778A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95" w:type="pct"/>
            <w:vMerge w:val="continue"/>
            <w:shd w:val="clear" w:color="auto" w:fill="auto"/>
            <w:vAlign w:val="center"/>
          </w:tcPr>
          <w:p w14:paraId="148B3260">
            <w:pPr>
              <w:adjustRightInd w:val="0"/>
              <w:snapToGrid w:val="0"/>
              <w:spacing w:after="0" w:line="408" w:lineRule="auto"/>
              <w:jc w:val="center"/>
              <w:rPr>
                <w:rFonts w:hint="eastAsia" w:ascii="仿宋" w:hAnsi="仿宋" w:eastAsia="仿宋"/>
                <w:bCs/>
                <w:snapToGrid w:val="0"/>
                <w:kern w:val="0"/>
                <w:sz w:val="18"/>
                <w:szCs w:val="21"/>
              </w:rPr>
            </w:pPr>
          </w:p>
        </w:tc>
        <w:tc>
          <w:tcPr>
            <w:tcW w:w="809" w:type="pct"/>
            <w:shd w:val="clear" w:color="auto" w:fill="auto"/>
            <w:vAlign w:val="center"/>
          </w:tcPr>
          <w:p w14:paraId="3B185987">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产出成本（2分）</w:t>
            </w:r>
          </w:p>
        </w:tc>
        <w:tc>
          <w:tcPr>
            <w:tcW w:w="770" w:type="pct"/>
            <w:shd w:val="clear" w:color="auto" w:fill="auto"/>
            <w:vAlign w:val="center"/>
          </w:tcPr>
          <w:p w14:paraId="302F62EA">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项目投入金额（2分）</w:t>
            </w:r>
          </w:p>
        </w:tc>
        <w:tc>
          <w:tcPr>
            <w:tcW w:w="1002" w:type="pct"/>
            <w:shd w:val="clear" w:color="auto" w:fill="auto"/>
            <w:vAlign w:val="center"/>
          </w:tcPr>
          <w:p w14:paraId="24F280CD">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项目实际支出的金额是否超出预算的金额。</w:t>
            </w:r>
          </w:p>
        </w:tc>
        <w:tc>
          <w:tcPr>
            <w:tcW w:w="1457" w:type="pct"/>
            <w:shd w:val="clear" w:color="auto" w:fill="auto"/>
            <w:vAlign w:val="center"/>
          </w:tcPr>
          <w:p w14:paraId="0644117E">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评价要点：</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项目投入成本≤预算金额。</w:t>
            </w:r>
          </w:p>
        </w:tc>
        <w:tc>
          <w:tcPr>
            <w:tcW w:w="234" w:type="pct"/>
            <w:shd w:val="clear" w:color="auto" w:fill="auto"/>
            <w:vAlign w:val="center"/>
          </w:tcPr>
          <w:p w14:paraId="7C5FBA27">
            <w:pPr>
              <w:adjustRightInd w:val="0"/>
              <w:snapToGrid w:val="0"/>
              <w:spacing w:after="0" w:line="408" w:lineRule="auto"/>
              <w:jc w:val="right"/>
              <w:rPr>
                <w:rFonts w:hint="eastAsia" w:ascii="仿宋" w:hAnsi="仿宋" w:eastAsia="仿宋"/>
                <w:bCs/>
                <w:snapToGrid w:val="0"/>
                <w:kern w:val="0"/>
                <w:sz w:val="18"/>
                <w:szCs w:val="21"/>
              </w:rPr>
            </w:pPr>
            <w:r>
              <w:rPr>
                <w:rFonts w:hint="eastAsia" w:ascii="仿宋" w:hAnsi="仿宋" w:eastAsia="仿宋"/>
                <w:bCs/>
                <w:snapToGrid w:val="0"/>
                <w:kern w:val="0"/>
                <w:sz w:val="18"/>
                <w:szCs w:val="21"/>
              </w:rPr>
              <w:t>2</w:t>
            </w:r>
          </w:p>
        </w:tc>
        <w:tc>
          <w:tcPr>
            <w:tcW w:w="233" w:type="pct"/>
            <w:shd w:val="clear" w:color="auto" w:fill="auto"/>
            <w:vAlign w:val="center"/>
          </w:tcPr>
          <w:p w14:paraId="7F7570E3">
            <w:pPr>
              <w:adjustRightInd w:val="0"/>
              <w:snapToGrid w:val="0"/>
              <w:spacing w:after="0" w:line="408" w:lineRule="auto"/>
              <w:jc w:val="right"/>
              <w:rPr>
                <w:rFonts w:hint="eastAsia" w:ascii="仿宋" w:hAnsi="仿宋" w:eastAsia="仿宋"/>
                <w:bCs/>
                <w:snapToGrid w:val="0"/>
                <w:kern w:val="0"/>
                <w:sz w:val="18"/>
                <w:szCs w:val="21"/>
              </w:rPr>
            </w:pPr>
            <w:r>
              <w:rPr>
                <w:rFonts w:hint="eastAsia" w:ascii="仿宋" w:hAnsi="仿宋" w:eastAsia="仿宋"/>
                <w:bCs/>
                <w:snapToGrid w:val="0"/>
                <w:kern w:val="0"/>
                <w:sz w:val="18"/>
                <w:szCs w:val="21"/>
              </w:rPr>
              <w:t>2</w:t>
            </w:r>
          </w:p>
        </w:tc>
      </w:tr>
      <w:tr w14:paraId="2ADFF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95" w:type="pct"/>
            <w:vMerge w:val="restart"/>
            <w:shd w:val="clear" w:color="auto" w:fill="auto"/>
            <w:vAlign w:val="center"/>
          </w:tcPr>
          <w:p w14:paraId="0181032D">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效益（34%）</w:t>
            </w:r>
          </w:p>
        </w:tc>
        <w:tc>
          <w:tcPr>
            <w:tcW w:w="809" w:type="pct"/>
            <w:vMerge w:val="restart"/>
            <w:shd w:val="clear" w:color="auto" w:fill="auto"/>
            <w:vAlign w:val="center"/>
          </w:tcPr>
          <w:p w14:paraId="4D6375CB">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社会效益（25分）</w:t>
            </w:r>
          </w:p>
        </w:tc>
        <w:tc>
          <w:tcPr>
            <w:tcW w:w="770" w:type="pct"/>
            <w:shd w:val="clear" w:color="auto" w:fill="auto"/>
            <w:vAlign w:val="center"/>
          </w:tcPr>
          <w:p w14:paraId="7BAAB92C">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交通事故死亡率的降低情况（5分）</w:t>
            </w:r>
          </w:p>
        </w:tc>
        <w:tc>
          <w:tcPr>
            <w:tcW w:w="1002" w:type="pct"/>
            <w:shd w:val="clear" w:color="auto" w:fill="auto"/>
            <w:vAlign w:val="center"/>
          </w:tcPr>
          <w:p w14:paraId="5F8EBCC7">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交通事故死亡率相比于上年度是否有所降低。交通事故死亡率=本年度发生的交通事故/在交通事故中死亡的人数*100%。</w:t>
            </w:r>
          </w:p>
        </w:tc>
        <w:tc>
          <w:tcPr>
            <w:tcW w:w="1457" w:type="pct"/>
            <w:shd w:val="clear" w:color="auto" w:fill="auto"/>
            <w:vAlign w:val="center"/>
          </w:tcPr>
          <w:p w14:paraId="01ECF870">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评价要点：</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①与上年相比有所降低，得5分；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②与上年保持一致，得4分；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③与上年度相比增加1%死亡率，得3分；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④与上年度相比增加2%死亡率，得2分；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⑤与上年度相比增加3%死亡率以上，得1分；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⑥与上年度相比增加4%死亡率以上，得0分。</w:t>
            </w:r>
          </w:p>
        </w:tc>
        <w:tc>
          <w:tcPr>
            <w:tcW w:w="234" w:type="pct"/>
            <w:shd w:val="clear" w:color="auto" w:fill="auto"/>
            <w:vAlign w:val="center"/>
          </w:tcPr>
          <w:p w14:paraId="7B038181">
            <w:pPr>
              <w:adjustRightInd w:val="0"/>
              <w:snapToGrid w:val="0"/>
              <w:spacing w:after="0" w:line="408" w:lineRule="auto"/>
              <w:jc w:val="right"/>
              <w:rPr>
                <w:rFonts w:hint="eastAsia" w:ascii="仿宋" w:hAnsi="仿宋" w:eastAsia="仿宋"/>
                <w:bCs/>
                <w:snapToGrid w:val="0"/>
                <w:kern w:val="0"/>
                <w:sz w:val="18"/>
                <w:szCs w:val="21"/>
              </w:rPr>
            </w:pPr>
            <w:r>
              <w:rPr>
                <w:rFonts w:hint="eastAsia" w:ascii="仿宋" w:hAnsi="仿宋" w:eastAsia="仿宋"/>
                <w:bCs/>
                <w:snapToGrid w:val="0"/>
                <w:kern w:val="0"/>
                <w:sz w:val="18"/>
                <w:szCs w:val="21"/>
              </w:rPr>
              <w:t>5</w:t>
            </w:r>
          </w:p>
        </w:tc>
        <w:tc>
          <w:tcPr>
            <w:tcW w:w="233" w:type="pct"/>
            <w:shd w:val="clear" w:color="auto" w:fill="auto"/>
            <w:vAlign w:val="center"/>
          </w:tcPr>
          <w:p w14:paraId="508C2122">
            <w:pPr>
              <w:adjustRightInd w:val="0"/>
              <w:snapToGrid w:val="0"/>
              <w:spacing w:after="0" w:line="408" w:lineRule="auto"/>
              <w:jc w:val="right"/>
              <w:rPr>
                <w:rFonts w:hint="eastAsia" w:ascii="仿宋" w:hAnsi="仿宋" w:eastAsia="仿宋"/>
                <w:bCs/>
                <w:snapToGrid w:val="0"/>
                <w:kern w:val="0"/>
                <w:sz w:val="18"/>
                <w:szCs w:val="21"/>
              </w:rPr>
            </w:pPr>
            <w:r>
              <w:rPr>
                <w:rFonts w:hint="eastAsia" w:ascii="仿宋" w:hAnsi="仿宋" w:eastAsia="仿宋"/>
                <w:bCs/>
                <w:snapToGrid w:val="0"/>
                <w:kern w:val="0"/>
                <w:sz w:val="18"/>
                <w:szCs w:val="21"/>
              </w:rPr>
              <w:t>5</w:t>
            </w:r>
          </w:p>
        </w:tc>
      </w:tr>
      <w:tr w14:paraId="5E811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95" w:type="pct"/>
            <w:vMerge w:val="continue"/>
            <w:shd w:val="clear" w:color="auto" w:fill="auto"/>
            <w:vAlign w:val="center"/>
          </w:tcPr>
          <w:p w14:paraId="7FFCF1AC">
            <w:pPr>
              <w:adjustRightInd w:val="0"/>
              <w:snapToGrid w:val="0"/>
              <w:spacing w:after="0" w:line="408" w:lineRule="auto"/>
              <w:jc w:val="center"/>
              <w:rPr>
                <w:rFonts w:hint="eastAsia" w:ascii="仿宋" w:hAnsi="仿宋" w:eastAsia="仿宋"/>
                <w:bCs/>
                <w:snapToGrid w:val="0"/>
                <w:kern w:val="0"/>
                <w:sz w:val="18"/>
                <w:szCs w:val="21"/>
              </w:rPr>
            </w:pPr>
          </w:p>
        </w:tc>
        <w:tc>
          <w:tcPr>
            <w:tcW w:w="809" w:type="pct"/>
            <w:vMerge w:val="continue"/>
            <w:shd w:val="clear" w:color="auto" w:fill="auto"/>
            <w:vAlign w:val="center"/>
          </w:tcPr>
          <w:p w14:paraId="25D06380">
            <w:pPr>
              <w:adjustRightInd w:val="0"/>
              <w:snapToGrid w:val="0"/>
              <w:spacing w:after="0" w:line="408" w:lineRule="auto"/>
              <w:jc w:val="center"/>
              <w:rPr>
                <w:rFonts w:hint="eastAsia" w:ascii="仿宋" w:hAnsi="仿宋" w:eastAsia="仿宋"/>
                <w:bCs/>
                <w:snapToGrid w:val="0"/>
                <w:kern w:val="0"/>
                <w:sz w:val="18"/>
                <w:szCs w:val="21"/>
              </w:rPr>
            </w:pPr>
          </w:p>
        </w:tc>
        <w:tc>
          <w:tcPr>
            <w:tcW w:w="770" w:type="pct"/>
            <w:shd w:val="clear" w:color="auto" w:fill="auto"/>
            <w:vAlign w:val="center"/>
          </w:tcPr>
          <w:p w14:paraId="4685DD79">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交通死亡人数的下降比率（5分）</w:t>
            </w:r>
          </w:p>
        </w:tc>
        <w:tc>
          <w:tcPr>
            <w:tcW w:w="1002" w:type="pct"/>
            <w:shd w:val="clear" w:color="auto" w:fill="auto"/>
            <w:vAlign w:val="center"/>
          </w:tcPr>
          <w:p w14:paraId="188E38BC">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交通事故的死亡人数相比于上年度是否有所降低。</w:t>
            </w:r>
          </w:p>
        </w:tc>
        <w:tc>
          <w:tcPr>
            <w:tcW w:w="1457" w:type="pct"/>
            <w:shd w:val="clear" w:color="auto" w:fill="auto"/>
            <w:vAlign w:val="center"/>
          </w:tcPr>
          <w:p w14:paraId="23234C9B">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评价要点：</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①与上年相比有所降低，得5分；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②与上年保持一致，得4分；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③与上年度相比增加死亡人数1人，得3分；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④与上年度相比增加死亡人数2人，得2分；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⑤与上年度相比增加死亡人数3人以上，得1分；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⑥与上年度相比增加死亡人数4人以上，得0分。</w:t>
            </w:r>
          </w:p>
        </w:tc>
        <w:tc>
          <w:tcPr>
            <w:tcW w:w="234" w:type="pct"/>
            <w:shd w:val="clear" w:color="auto" w:fill="auto"/>
            <w:vAlign w:val="center"/>
          </w:tcPr>
          <w:p w14:paraId="1C3E94A7">
            <w:pPr>
              <w:adjustRightInd w:val="0"/>
              <w:snapToGrid w:val="0"/>
              <w:spacing w:after="0" w:line="408" w:lineRule="auto"/>
              <w:jc w:val="right"/>
              <w:rPr>
                <w:rFonts w:hint="eastAsia" w:ascii="仿宋" w:hAnsi="仿宋" w:eastAsia="仿宋"/>
                <w:bCs/>
                <w:snapToGrid w:val="0"/>
                <w:kern w:val="0"/>
                <w:sz w:val="18"/>
                <w:szCs w:val="21"/>
              </w:rPr>
            </w:pPr>
            <w:r>
              <w:rPr>
                <w:rFonts w:hint="eastAsia" w:ascii="仿宋" w:hAnsi="仿宋" w:eastAsia="仿宋"/>
                <w:bCs/>
                <w:snapToGrid w:val="0"/>
                <w:kern w:val="0"/>
                <w:sz w:val="18"/>
                <w:szCs w:val="21"/>
              </w:rPr>
              <w:t>5</w:t>
            </w:r>
          </w:p>
        </w:tc>
        <w:tc>
          <w:tcPr>
            <w:tcW w:w="233" w:type="pct"/>
            <w:shd w:val="clear" w:color="auto" w:fill="auto"/>
            <w:vAlign w:val="center"/>
          </w:tcPr>
          <w:p w14:paraId="27D982F1">
            <w:pPr>
              <w:adjustRightInd w:val="0"/>
              <w:snapToGrid w:val="0"/>
              <w:spacing w:after="0" w:line="408" w:lineRule="auto"/>
              <w:jc w:val="right"/>
              <w:rPr>
                <w:rFonts w:hint="eastAsia" w:ascii="仿宋" w:hAnsi="仿宋" w:eastAsia="仿宋"/>
                <w:bCs/>
                <w:snapToGrid w:val="0"/>
                <w:kern w:val="0"/>
                <w:sz w:val="18"/>
                <w:szCs w:val="21"/>
              </w:rPr>
            </w:pPr>
            <w:r>
              <w:rPr>
                <w:rFonts w:hint="eastAsia" w:ascii="仿宋" w:hAnsi="仿宋" w:eastAsia="仿宋"/>
                <w:bCs/>
                <w:snapToGrid w:val="0"/>
                <w:kern w:val="0"/>
                <w:sz w:val="18"/>
                <w:szCs w:val="21"/>
              </w:rPr>
              <w:t>4</w:t>
            </w:r>
          </w:p>
        </w:tc>
      </w:tr>
      <w:tr w14:paraId="5F043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95" w:type="pct"/>
            <w:vMerge w:val="continue"/>
            <w:shd w:val="clear" w:color="auto" w:fill="auto"/>
            <w:vAlign w:val="center"/>
          </w:tcPr>
          <w:p w14:paraId="040629F1">
            <w:pPr>
              <w:adjustRightInd w:val="0"/>
              <w:snapToGrid w:val="0"/>
              <w:spacing w:after="0" w:line="408" w:lineRule="auto"/>
              <w:jc w:val="center"/>
              <w:rPr>
                <w:rFonts w:hint="eastAsia" w:ascii="仿宋" w:hAnsi="仿宋" w:eastAsia="仿宋"/>
                <w:bCs/>
                <w:snapToGrid w:val="0"/>
                <w:kern w:val="0"/>
                <w:sz w:val="18"/>
                <w:szCs w:val="21"/>
              </w:rPr>
            </w:pPr>
          </w:p>
        </w:tc>
        <w:tc>
          <w:tcPr>
            <w:tcW w:w="809" w:type="pct"/>
            <w:vMerge w:val="continue"/>
            <w:shd w:val="clear" w:color="auto" w:fill="auto"/>
            <w:vAlign w:val="center"/>
          </w:tcPr>
          <w:p w14:paraId="7B83BA38">
            <w:pPr>
              <w:adjustRightInd w:val="0"/>
              <w:snapToGrid w:val="0"/>
              <w:spacing w:after="0" w:line="408" w:lineRule="auto"/>
              <w:jc w:val="center"/>
              <w:rPr>
                <w:rFonts w:hint="eastAsia" w:ascii="仿宋" w:hAnsi="仿宋" w:eastAsia="仿宋"/>
                <w:bCs/>
                <w:snapToGrid w:val="0"/>
                <w:kern w:val="0"/>
                <w:sz w:val="18"/>
                <w:szCs w:val="21"/>
              </w:rPr>
            </w:pPr>
          </w:p>
        </w:tc>
        <w:tc>
          <w:tcPr>
            <w:tcW w:w="770" w:type="pct"/>
            <w:shd w:val="clear" w:color="auto" w:fill="auto"/>
            <w:vAlign w:val="center"/>
          </w:tcPr>
          <w:p w14:paraId="078BF4FA">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交通肇事逃逸案件侦破情况（5分）</w:t>
            </w:r>
          </w:p>
        </w:tc>
        <w:tc>
          <w:tcPr>
            <w:tcW w:w="1002" w:type="pct"/>
            <w:shd w:val="clear" w:color="auto" w:fill="auto"/>
            <w:vAlign w:val="center"/>
          </w:tcPr>
          <w:p w14:paraId="1F41CD66">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交通肇事逃逸案件的侦破率，相比上年度侦破率是否有所提高。</w:t>
            </w:r>
          </w:p>
        </w:tc>
        <w:tc>
          <w:tcPr>
            <w:tcW w:w="1457" w:type="pct"/>
            <w:shd w:val="clear" w:color="auto" w:fill="auto"/>
            <w:vAlign w:val="center"/>
          </w:tcPr>
          <w:p w14:paraId="3A718CD5">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评价要点：</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①侦破率=100%，得5分；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②100%&gt;侦破率≥95%，得4分；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③95%&gt;侦破率≥90%，得3分；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④90%&gt;侦破率≥85%，得2分；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⑤侦破率﹤85%，得1分。</w:t>
            </w:r>
          </w:p>
        </w:tc>
        <w:tc>
          <w:tcPr>
            <w:tcW w:w="234" w:type="pct"/>
            <w:shd w:val="clear" w:color="auto" w:fill="auto"/>
            <w:vAlign w:val="center"/>
          </w:tcPr>
          <w:p w14:paraId="3134ABDC">
            <w:pPr>
              <w:adjustRightInd w:val="0"/>
              <w:snapToGrid w:val="0"/>
              <w:spacing w:after="0" w:line="408" w:lineRule="auto"/>
              <w:jc w:val="right"/>
              <w:rPr>
                <w:rFonts w:hint="eastAsia" w:ascii="仿宋" w:hAnsi="仿宋" w:eastAsia="仿宋"/>
                <w:bCs/>
                <w:snapToGrid w:val="0"/>
                <w:kern w:val="0"/>
                <w:sz w:val="18"/>
                <w:szCs w:val="21"/>
              </w:rPr>
            </w:pPr>
            <w:r>
              <w:rPr>
                <w:rFonts w:hint="eastAsia" w:ascii="仿宋" w:hAnsi="仿宋" w:eastAsia="仿宋"/>
                <w:bCs/>
                <w:snapToGrid w:val="0"/>
                <w:kern w:val="0"/>
                <w:sz w:val="18"/>
                <w:szCs w:val="21"/>
              </w:rPr>
              <w:t>5</w:t>
            </w:r>
          </w:p>
        </w:tc>
        <w:tc>
          <w:tcPr>
            <w:tcW w:w="233" w:type="pct"/>
            <w:shd w:val="clear" w:color="auto" w:fill="auto"/>
            <w:vAlign w:val="center"/>
          </w:tcPr>
          <w:p w14:paraId="4CB1E0A7">
            <w:pPr>
              <w:adjustRightInd w:val="0"/>
              <w:snapToGrid w:val="0"/>
              <w:spacing w:after="0" w:line="408" w:lineRule="auto"/>
              <w:jc w:val="right"/>
              <w:rPr>
                <w:rFonts w:hint="eastAsia" w:ascii="仿宋" w:hAnsi="仿宋" w:eastAsia="仿宋"/>
                <w:bCs/>
                <w:snapToGrid w:val="0"/>
                <w:kern w:val="0"/>
                <w:sz w:val="18"/>
                <w:szCs w:val="21"/>
              </w:rPr>
            </w:pPr>
            <w:r>
              <w:rPr>
                <w:rFonts w:hint="eastAsia" w:ascii="仿宋" w:hAnsi="仿宋" w:eastAsia="仿宋"/>
                <w:bCs/>
                <w:snapToGrid w:val="0"/>
                <w:kern w:val="0"/>
                <w:sz w:val="18"/>
                <w:szCs w:val="21"/>
              </w:rPr>
              <w:t>5</w:t>
            </w:r>
          </w:p>
        </w:tc>
      </w:tr>
      <w:tr w14:paraId="0DAEC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95" w:type="pct"/>
            <w:vMerge w:val="continue"/>
            <w:shd w:val="clear" w:color="auto" w:fill="auto"/>
            <w:vAlign w:val="center"/>
          </w:tcPr>
          <w:p w14:paraId="6DE9A5B6">
            <w:pPr>
              <w:adjustRightInd w:val="0"/>
              <w:snapToGrid w:val="0"/>
              <w:spacing w:after="0" w:line="408" w:lineRule="auto"/>
              <w:jc w:val="center"/>
              <w:rPr>
                <w:rFonts w:hint="eastAsia" w:ascii="仿宋" w:hAnsi="仿宋" w:eastAsia="仿宋"/>
                <w:bCs/>
                <w:snapToGrid w:val="0"/>
                <w:kern w:val="0"/>
                <w:sz w:val="18"/>
                <w:szCs w:val="21"/>
              </w:rPr>
            </w:pPr>
          </w:p>
        </w:tc>
        <w:tc>
          <w:tcPr>
            <w:tcW w:w="809" w:type="pct"/>
            <w:vMerge w:val="continue"/>
            <w:shd w:val="clear" w:color="auto" w:fill="auto"/>
            <w:vAlign w:val="center"/>
          </w:tcPr>
          <w:p w14:paraId="37873094">
            <w:pPr>
              <w:adjustRightInd w:val="0"/>
              <w:snapToGrid w:val="0"/>
              <w:spacing w:after="0" w:line="408" w:lineRule="auto"/>
              <w:jc w:val="center"/>
              <w:rPr>
                <w:rFonts w:hint="eastAsia" w:ascii="仿宋" w:hAnsi="仿宋" w:eastAsia="仿宋"/>
                <w:bCs/>
                <w:snapToGrid w:val="0"/>
                <w:kern w:val="0"/>
                <w:sz w:val="18"/>
                <w:szCs w:val="21"/>
              </w:rPr>
            </w:pPr>
          </w:p>
        </w:tc>
        <w:tc>
          <w:tcPr>
            <w:tcW w:w="770" w:type="pct"/>
            <w:shd w:val="clear" w:color="auto" w:fill="auto"/>
            <w:vAlign w:val="center"/>
          </w:tcPr>
          <w:p w14:paraId="585F622D">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交通事故处置平均时间的下降情况（5分）</w:t>
            </w:r>
          </w:p>
        </w:tc>
        <w:tc>
          <w:tcPr>
            <w:tcW w:w="1002" w:type="pct"/>
            <w:shd w:val="clear" w:color="auto" w:fill="auto"/>
            <w:vAlign w:val="center"/>
          </w:tcPr>
          <w:p w14:paraId="5E462BF7">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交通事故处置的平均时间和上年相比的下降百分比。下降率=（上年平均处置时间-本年平均处置时间）/上年平均处置时间*100%。</w:t>
            </w:r>
          </w:p>
        </w:tc>
        <w:tc>
          <w:tcPr>
            <w:tcW w:w="1457" w:type="pct"/>
            <w:shd w:val="clear" w:color="auto" w:fill="auto"/>
            <w:vAlign w:val="center"/>
          </w:tcPr>
          <w:p w14:paraId="451197D8">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评价要点：</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①下降率≥5%，得5分；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②5%&gt;下降率≥4%，得4分；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③4%&gt;下降率≥3%，得3分；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④2%&gt;下降率≥1%，得2分；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⑤1%&gt;下降率≥0.05%，得1分；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⑥下降率﹤0.05%，得0分。</w:t>
            </w:r>
          </w:p>
        </w:tc>
        <w:tc>
          <w:tcPr>
            <w:tcW w:w="234" w:type="pct"/>
            <w:shd w:val="clear" w:color="auto" w:fill="auto"/>
            <w:vAlign w:val="center"/>
          </w:tcPr>
          <w:p w14:paraId="4EFB0FA3">
            <w:pPr>
              <w:adjustRightInd w:val="0"/>
              <w:snapToGrid w:val="0"/>
              <w:spacing w:after="0" w:line="408" w:lineRule="auto"/>
              <w:jc w:val="right"/>
              <w:rPr>
                <w:rFonts w:hint="eastAsia" w:ascii="仿宋" w:hAnsi="仿宋" w:eastAsia="仿宋"/>
                <w:bCs/>
                <w:snapToGrid w:val="0"/>
                <w:kern w:val="0"/>
                <w:sz w:val="18"/>
                <w:szCs w:val="21"/>
              </w:rPr>
            </w:pPr>
            <w:r>
              <w:rPr>
                <w:rFonts w:hint="eastAsia" w:ascii="仿宋" w:hAnsi="仿宋" w:eastAsia="仿宋"/>
                <w:bCs/>
                <w:snapToGrid w:val="0"/>
                <w:kern w:val="0"/>
                <w:sz w:val="18"/>
                <w:szCs w:val="21"/>
              </w:rPr>
              <w:t>5</w:t>
            </w:r>
          </w:p>
        </w:tc>
        <w:tc>
          <w:tcPr>
            <w:tcW w:w="233" w:type="pct"/>
            <w:shd w:val="clear" w:color="auto" w:fill="auto"/>
            <w:vAlign w:val="center"/>
          </w:tcPr>
          <w:p w14:paraId="1093B5B6">
            <w:pPr>
              <w:adjustRightInd w:val="0"/>
              <w:snapToGrid w:val="0"/>
              <w:spacing w:after="0" w:line="408" w:lineRule="auto"/>
              <w:jc w:val="right"/>
              <w:rPr>
                <w:rFonts w:hint="eastAsia" w:ascii="仿宋" w:hAnsi="仿宋" w:eastAsia="仿宋"/>
                <w:bCs/>
                <w:snapToGrid w:val="0"/>
                <w:kern w:val="0"/>
                <w:sz w:val="18"/>
                <w:szCs w:val="21"/>
              </w:rPr>
            </w:pPr>
            <w:r>
              <w:rPr>
                <w:rFonts w:hint="eastAsia" w:ascii="仿宋" w:hAnsi="仿宋" w:eastAsia="仿宋"/>
                <w:bCs/>
                <w:snapToGrid w:val="0"/>
                <w:kern w:val="0"/>
                <w:sz w:val="18"/>
                <w:szCs w:val="21"/>
              </w:rPr>
              <w:t>5</w:t>
            </w:r>
          </w:p>
        </w:tc>
      </w:tr>
      <w:tr w14:paraId="42C89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95" w:type="pct"/>
            <w:vMerge w:val="continue"/>
            <w:shd w:val="clear" w:color="auto" w:fill="auto"/>
            <w:vAlign w:val="center"/>
          </w:tcPr>
          <w:p w14:paraId="33FD6E7B">
            <w:pPr>
              <w:adjustRightInd w:val="0"/>
              <w:snapToGrid w:val="0"/>
              <w:spacing w:after="0" w:line="408" w:lineRule="auto"/>
              <w:jc w:val="center"/>
              <w:rPr>
                <w:rFonts w:hint="eastAsia" w:ascii="仿宋" w:hAnsi="仿宋" w:eastAsia="仿宋"/>
                <w:bCs/>
                <w:snapToGrid w:val="0"/>
                <w:kern w:val="0"/>
                <w:sz w:val="18"/>
                <w:szCs w:val="21"/>
              </w:rPr>
            </w:pPr>
          </w:p>
        </w:tc>
        <w:tc>
          <w:tcPr>
            <w:tcW w:w="809" w:type="pct"/>
            <w:vMerge w:val="continue"/>
            <w:shd w:val="clear" w:color="auto" w:fill="auto"/>
            <w:vAlign w:val="center"/>
          </w:tcPr>
          <w:p w14:paraId="1C842C9E">
            <w:pPr>
              <w:adjustRightInd w:val="0"/>
              <w:snapToGrid w:val="0"/>
              <w:spacing w:after="0" w:line="408" w:lineRule="auto"/>
              <w:jc w:val="center"/>
              <w:rPr>
                <w:rFonts w:hint="eastAsia" w:ascii="仿宋" w:hAnsi="仿宋" w:eastAsia="仿宋"/>
                <w:bCs/>
                <w:snapToGrid w:val="0"/>
                <w:kern w:val="0"/>
                <w:sz w:val="18"/>
                <w:szCs w:val="21"/>
              </w:rPr>
            </w:pPr>
          </w:p>
        </w:tc>
        <w:tc>
          <w:tcPr>
            <w:tcW w:w="770" w:type="pct"/>
            <w:shd w:val="clear" w:color="auto" w:fill="auto"/>
            <w:vAlign w:val="center"/>
          </w:tcPr>
          <w:p w14:paraId="15B06B43">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关于促进群众出行项目的建设情况（5分）</w:t>
            </w:r>
          </w:p>
        </w:tc>
        <w:tc>
          <w:tcPr>
            <w:tcW w:w="1002" w:type="pct"/>
            <w:shd w:val="clear" w:color="auto" w:fill="auto"/>
            <w:vAlign w:val="center"/>
          </w:tcPr>
          <w:p w14:paraId="2C0FB638">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在为民办实事项目当中做了多少个便利于群众出行的项目。</w:t>
            </w:r>
          </w:p>
        </w:tc>
        <w:tc>
          <w:tcPr>
            <w:tcW w:w="1457" w:type="pct"/>
            <w:shd w:val="clear" w:color="auto" w:fill="auto"/>
            <w:vAlign w:val="center"/>
          </w:tcPr>
          <w:p w14:paraId="71CE43C1">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评价要点：</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①达到5个项目，得5分；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②达到4个项目，得4分；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③达到3个项目，得3分；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④达到2个项目，得2分；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⑤达到1个项目，得1分；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⑥达到0个项目，得0分。</w:t>
            </w:r>
          </w:p>
        </w:tc>
        <w:tc>
          <w:tcPr>
            <w:tcW w:w="234" w:type="pct"/>
            <w:shd w:val="clear" w:color="auto" w:fill="auto"/>
            <w:vAlign w:val="center"/>
          </w:tcPr>
          <w:p w14:paraId="110A32E9">
            <w:pPr>
              <w:adjustRightInd w:val="0"/>
              <w:snapToGrid w:val="0"/>
              <w:spacing w:after="0" w:line="408" w:lineRule="auto"/>
              <w:jc w:val="right"/>
              <w:rPr>
                <w:rFonts w:hint="eastAsia" w:ascii="仿宋" w:hAnsi="仿宋" w:eastAsia="仿宋"/>
                <w:bCs/>
                <w:snapToGrid w:val="0"/>
                <w:kern w:val="0"/>
                <w:sz w:val="18"/>
                <w:szCs w:val="21"/>
              </w:rPr>
            </w:pPr>
            <w:r>
              <w:rPr>
                <w:rFonts w:hint="eastAsia" w:ascii="仿宋" w:hAnsi="仿宋" w:eastAsia="仿宋"/>
                <w:bCs/>
                <w:snapToGrid w:val="0"/>
                <w:kern w:val="0"/>
                <w:sz w:val="18"/>
                <w:szCs w:val="21"/>
              </w:rPr>
              <w:t>5</w:t>
            </w:r>
          </w:p>
        </w:tc>
        <w:tc>
          <w:tcPr>
            <w:tcW w:w="233" w:type="pct"/>
            <w:shd w:val="clear" w:color="auto" w:fill="auto"/>
            <w:vAlign w:val="center"/>
          </w:tcPr>
          <w:p w14:paraId="4F4FC86B">
            <w:pPr>
              <w:adjustRightInd w:val="0"/>
              <w:snapToGrid w:val="0"/>
              <w:spacing w:after="0" w:line="408" w:lineRule="auto"/>
              <w:jc w:val="right"/>
              <w:rPr>
                <w:rFonts w:hint="eastAsia" w:ascii="仿宋" w:hAnsi="仿宋" w:eastAsia="仿宋"/>
                <w:bCs/>
                <w:snapToGrid w:val="0"/>
                <w:kern w:val="0"/>
                <w:sz w:val="18"/>
                <w:szCs w:val="21"/>
              </w:rPr>
            </w:pPr>
            <w:r>
              <w:rPr>
                <w:rFonts w:hint="eastAsia" w:ascii="仿宋" w:hAnsi="仿宋" w:eastAsia="仿宋"/>
                <w:bCs/>
                <w:snapToGrid w:val="0"/>
                <w:kern w:val="0"/>
                <w:sz w:val="18"/>
                <w:szCs w:val="21"/>
              </w:rPr>
              <w:t>5</w:t>
            </w:r>
          </w:p>
        </w:tc>
      </w:tr>
      <w:tr w14:paraId="452E8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95" w:type="pct"/>
            <w:vMerge w:val="continue"/>
            <w:shd w:val="clear" w:color="auto" w:fill="auto"/>
            <w:vAlign w:val="center"/>
          </w:tcPr>
          <w:p w14:paraId="6F190C3C">
            <w:pPr>
              <w:adjustRightInd w:val="0"/>
              <w:snapToGrid w:val="0"/>
              <w:spacing w:after="0" w:line="408" w:lineRule="auto"/>
              <w:jc w:val="center"/>
              <w:rPr>
                <w:rFonts w:hint="eastAsia" w:ascii="仿宋" w:hAnsi="仿宋" w:eastAsia="仿宋"/>
                <w:bCs/>
                <w:snapToGrid w:val="0"/>
                <w:kern w:val="0"/>
                <w:sz w:val="18"/>
                <w:szCs w:val="21"/>
              </w:rPr>
            </w:pPr>
          </w:p>
        </w:tc>
        <w:tc>
          <w:tcPr>
            <w:tcW w:w="809" w:type="pct"/>
            <w:shd w:val="clear" w:color="auto" w:fill="auto"/>
            <w:vAlign w:val="center"/>
          </w:tcPr>
          <w:p w14:paraId="2EF75428">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经济效益（5分）</w:t>
            </w:r>
          </w:p>
        </w:tc>
        <w:tc>
          <w:tcPr>
            <w:tcW w:w="770" w:type="pct"/>
            <w:shd w:val="clear" w:color="auto" w:fill="auto"/>
            <w:vAlign w:val="center"/>
          </w:tcPr>
          <w:p w14:paraId="61644DD5">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道路交通事故财产损失的下降比率（5分）</w:t>
            </w:r>
          </w:p>
        </w:tc>
        <w:tc>
          <w:tcPr>
            <w:tcW w:w="1002" w:type="pct"/>
            <w:shd w:val="clear" w:color="auto" w:fill="auto"/>
            <w:vAlign w:val="center"/>
          </w:tcPr>
          <w:p w14:paraId="600AD345">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本年度道路交通事故财产损失的金额量相比于上年度道路交通事故财产损失的金额量的下降率。下降率=（上年度道路交通财产损失金额量-本年度道路交通财产损失金额量）/上年度道路交通财产损失金额量*100%。</w:t>
            </w:r>
          </w:p>
        </w:tc>
        <w:tc>
          <w:tcPr>
            <w:tcW w:w="1457" w:type="pct"/>
            <w:shd w:val="clear" w:color="auto" w:fill="auto"/>
            <w:vAlign w:val="center"/>
          </w:tcPr>
          <w:p w14:paraId="1A57F7AD">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评价要点：</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①下降率≥15%，得5分；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②15%&gt;下降率≥14%，得4分；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③14%&gt;下降率≥13%，得3分；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④12%&gt;下降率≥11%，得2分；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⑤11%&gt;下降率≥10%，得1分；</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⑥下降率﹤10%，得0分。</w:t>
            </w:r>
          </w:p>
        </w:tc>
        <w:tc>
          <w:tcPr>
            <w:tcW w:w="234" w:type="pct"/>
            <w:shd w:val="clear" w:color="auto" w:fill="auto"/>
            <w:vAlign w:val="center"/>
          </w:tcPr>
          <w:p w14:paraId="3BC57A1F">
            <w:pPr>
              <w:adjustRightInd w:val="0"/>
              <w:snapToGrid w:val="0"/>
              <w:spacing w:after="0" w:line="408" w:lineRule="auto"/>
              <w:jc w:val="right"/>
              <w:rPr>
                <w:rFonts w:hint="eastAsia" w:ascii="仿宋" w:hAnsi="仿宋" w:eastAsia="仿宋"/>
                <w:bCs/>
                <w:snapToGrid w:val="0"/>
                <w:kern w:val="0"/>
                <w:sz w:val="18"/>
                <w:szCs w:val="21"/>
              </w:rPr>
            </w:pPr>
            <w:r>
              <w:rPr>
                <w:rFonts w:hint="eastAsia" w:ascii="仿宋" w:hAnsi="仿宋" w:eastAsia="仿宋"/>
                <w:bCs/>
                <w:snapToGrid w:val="0"/>
                <w:kern w:val="0"/>
                <w:sz w:val="18"/>
                <w:szCs w:val="21"/>
              </w:rPr>
              <w:t>5</w:t>
            </w:r>
          </w:p>
        </w:tc>
        <w:tc>
          <w:tcPr>
            <w:tcW w:w="233" w:type="pct"/>
            <w:shd w:val="clear" w:color="auto" w:fill="auto"/>
            <w:vAlign w:val="center"/>
          </w:tcPr>
          <w:p w14:paraId="21EABBAC">
            <w:pPr>
              <w:adjustRightInd w:val="0"/>
              <w:snapToGrid w:val="0"/>
              <w:spacing w:after="0" w:line="408" w:lineRule="auto"/>
              <w:jc w:val="right"/>
              <w:rPr>
                <w:rFonts w:hint="eastAsia" w:ascii="仿宋" w:hAnsi="仿宋" w:eastAsia="仿宋"/>
                <w:bCs/>
                <w:snapToGrid w:val="0"/>
                <w:kern w:val="0"/>
                <w:sz w:val="18"/>
                <w:szCs w:val="21"/>
              </w:rPr>
            </w:pPr>
            <w:r>
              <w:rPr>
                <w:rFonts w:hint="eastAsia" w:ascii="仿宋" w:hAnsi="仿宋" w:eastAsia="仿宋"/>
                <w:bCs/>
                <w:snapToGrid w:val="0"/>
                <w:kern w:val="0"/>
                <w:sz w:val="18"/>
                <w:szCs w:val="21"/>
              </w:rPr>
              <w:t>5</w:t>
            </w:r>
          </w:p>
        </w:tc>
      </w:tr>
      <w:tr w14:paraId="509F8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95" w:type="pct"/>
            <w:vMerge w:val="continue"/>
            <w:shd w:val="clear" w:color="auto" w:fill="auto"/>
            <w:vAlign w:val="center"/>
          </w:tcPr>
          <w:p w14:paraId="1607BD2F">
            <w:pPr>
              <w:adjustRightInd w:val="0"/>
              <w:snapToGrid w:val="0"/>
              <w:spacing w:after="0" w:line="408" w:lineRule="auto"/>
              <w:jc w:val="center"/>
              <w:rPr>
                <w:rFonts w:hint="eastAsia" w:ascii="仿宋" w:hAnsi="仿宋" w:eastAsia="仿宋"/>
                <w:bCs/>
                <w:snapToGrid w:val="0"/>
                <w:kern w:val="0"/>
                <w:sz w:val="18"/>
                <w:szCs w:val="21"/>
              </w:rPr>
            </w:pPr>
          </w:p>
        </w:tc>
        <w:tc>
          <w:tcPr>
            <w:tcW w:w="809" w:type="pct"/>
            <w:shd w:val="clear" w:color="auto" w:fill="auto"/>
            <w:vAlign w:val="center"/>
          </w:tcPr>
          <w:p w14:paraId="41F16FB8">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满意度（4分）</w:t>
            </w:r>
          </w:p>
        </w:tc>
        <w:tc>
          <w:tcPr>
            <w:tcW w:w="770" w:type="pct"/>
            <w:shd w:val="clear" w:color="auto" w:fill="auto"/>
            <w:vAlign w:val="center"/>
          </w:tcPr>
          <w:p w14:paraId="6657AFCC">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群众对道路整改情况的满意度情况（4分）</w:t>
            </w:r>
          </w:p>
        </w:tc>
        <w:tc>
          <w:tcPr>
            <w:tcW w:w="1002" w:type="pct"/>
            <w:shd w:val="clear" w:color="auto" w:fill="auto"/>
            <w:vAlign w:val="center"/>
          </w:tcPr>
          <w:p w14:paraId="4D0009AA">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群众对道路整改情况工作的满意情况，用以考虑交警大队的工作在是否得到群众认可与满意。</w:t>
            </w:r>
          </w:p>
        </w:tc>
        <w:tc>
          <w:tcPr>
            <w:tcW w:w="1457" w:type="pct"/>
            <w:shd w:val="clear" w:color="auto" w:fill="auto"/>
            <w:vAlign w:val="center"/>
          </w:tcPr>
          <w:p w14:paraId="157F8F75">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评价要点：</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①非常满意；</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②基本满意；</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③有一定投诉；</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④不满意。</w:t>
            </w:r>
            <w:r>
              <w:rPr>
                <w:rFonts w:hint="eastAsia" w:ascii="仿宋" w:hAnsi="仿宋" w:eastAsia="仿宋"/>
                <w:bCs/>
                <w:snapToGrid w:val="0"/>
                <w:kern w:val="0"/>
                <w:sz w:val="18"/>
                <w:szCs w:val="21"/>
              </w:rPr>
              <w:br w:type="textWrapping"/>
            </w:r>
            <w:r>
              <w:rPr>
                <w:rFonts w:hint="eastAsia" w:ascii="仿宋" w:hAnsi="仿宋" w:eastAsia="仿宋"/>
                <w:bCs/>
                <w:snapToGrid w:val="0"/>
                <w:kern w:val="0"/>
                <w:sz w:val="18"/>
                <w:szCs w:val="21"/>
              </w:rPr>
              <w:t>有非常满意4分，基本满意3分，有一定投诉2分，不满意1分。</w:t>
            </w:r>
          </w:p>
        </w:tc>
        <w:tc>
          <w:tcPr>
            <w:tcW w:w="234" w:type="pct"/>
            <w:shd w:val="clear" w:color="auto" w:fill="auto"/>
            <w:vAlign w:val="center"/>
          </w:tcPr>
          <w:p w14:paraId="59AF4708">
            <w:pPr>
              <w:adjustRightInd w:val="0"/>
              <w:snapToGrid w:val="0"/>
              <w:spacing w:after="0" w:line="408" w:lineRule="auto"/>
              <w:jc w:val="right"/>
              <w:rPr>
                <w:rFonts w:hint="eastAsia" w:ascii="仿宋" w:hAnsi="仿宋" w:eastAsia="仿宋"/>
                <w:bCs/>
                <w:snapToGrid w:val="0"/>
                <w:kern w:val="0"/>
                <w:sz w:val="18"/>
                <w:szCs w:val="21"/>
              </w:rPr>
            </w:pPr>
            <w:r>
              <w:rPr>
                <w:rFonts w:hint="eastAsia" w:ascii="仿宋" w:hAnsi="仿宋" w:eastAsia="仿宋"/>
                <w:bCs/>
                <w:snapToGrid w:val="0"/>
                <w:kern w:val="0"/>
                <w:sz w:val="18"/>
                <w:szCs w:val="21"/>
              </w:rPr>
              <w:t>4</w:t>
            </w:r>
          </w:p>
        </w:tc>
        <w:tc>
          <w:tcPr>
            <w:tcW w:w="233" w:type="pct"/>
            <w:shd w:val="clear" w:color="auto" w:fill="auto"/>
            <w:vAlign w:val="center"/>
          </w:tcPr>
          <w:p w14:paraId="3444DB58">
            <w:pPr>
              <w:adjustRightInd w:val="0"/>
              <w:snapToGrid w:val="0"/>
              <w:spacing w:after="0" w:line="408" w:lineRule="auto"/>
              <w:jc w:val="right"/>
              <w:rPr>
                <w:rFonts w:hint="eastAsia" w:ascii="仿宋" w:hAnsi="仿宋" w:eastAsia="仿宋"/>
                <w:bCs/>
                <w:snapToGrid w:val="0"/>
                <w:kern w:val="0"/>
                <w:sz w:val="18"/>
                <w:szCs w:val="21"/>
              </w:rPr>
            </w:pPr>
            <w:r>
              <w:rPr>
                <w:rFonts w:hint="eastAsia" w:ascii="仿宋" w:hAnsi="仿宋" w:eastAsia="仿宋"/>
                <w:bCs/>
                <w:snapToGrid w:val="0"/>
                <w:kern w:val="0"/>
                <w:sz w:val="18"/>
                <w:szCs w:val="21"/>
              </w:rPr>
              <w:t>3</w:t>
            </w:r>
          </w:p>
        </w:tc>
      </w:tr>
      <w:tr w14:paraId="641E5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4533" w:type="pct"/>
            <w:gridSpan w:val="5"/>
            <w:shd w:val="clear" w:color="auto" w:fill="auto"/>
            <w:vAlign w:val="center"/>
          </w:tcPr>
          <w:p w14:paraId="6FF16342">
            <w:pPr>
              <w:adjustRightInd w:val="0"/>
              <w:snapToGrid w:val="0"/>
              <w:spacing w:after="0" w:line="408" w:lineRule="auto"/>
              <w:rPr>
                <w:rFonts w:hint="eastAsia" w:ascii="仿宋" w:hAnsi="仿宋" w:eastAsia="仿宋"/>
                <w:bCs/>
                <w:snapToGrid w:val="0"/>
                <w:kern w:val="0"/>
                <w:sz w:val="18"/>
                <w:szCs w:val="21"/>
              </w:rPr>
            </w:pPr>
            <w:r>
              <w:rPr>
                <w:rFonts w:hint="eastAsia" w:ascii="仿宋" w:hAnsi="仿宋" w:eastAsia="仿宋"/>
                <w:bCs/>
                <w:snapToGrid w:val="0"/>
                <w:kern w:val="0"/>
                <w:sz w:val="18"/>
                <w:szCs w:val="21"/>
              </w:rPr>
              <w:t>总得分</w:t>
            </w:r>
          </w:p>
        </w:tc>
        <w:tc>
          <w:tcPr>
            <w:tcW w:w="467" w:type="pct"/>
            <w:gridSpan w:val="2"/>
            <w:shd w:val="clear" w:color="auto" w:fill="auto"/>
            <w:vAlign w:val="center"/>
          </w:tcPr>
          <w:p w14:paraId="4FF42438">
            <w:pPr>
              <w:adjustRightInd w:val="0"/>
              <w:snapToGrid w:val="0"/>
              <w:spacing w:after="0" w:line="408" w:lineRule="auto"/>
              <w:jc w:val="center"/>
              <w:rPr>
                <w:rFonts w:hint="eastAsia" w:ascii="仿宋" w:hAnsi="仿宋" w:eastAsia="仿宋"/>
                <w:bCs/>
                <w:snapToGrid w:val="0"/>
                <w:kern w:val="0"/>
                <w:sz w:val="18"/>
                <w:szCs w:val="21"/>
              </w:rPr>
            </w:pPr>
            <w:r>
              <w:rPr>
                <w:rFonts w:hint="eastAsia" w:ascii="仿宋" w:hAnsi="仿宋" w:eastAsia="仿宋"/>
                <w:bCs/>
                <w:snapToGrid w:val="0"/>
                <w:kern w:val="0"/>
                <w:sz w:val="18"/>
                <w:szCs w:val="21"/>
              </w:rPr>
              <w:t>82</w:t>
            </w:r>
          </w:p>
        </w:tc>
      </w:tr>
    </w:tbl>
    <w:p w14:paraId="07D39450">
      <w:pPr>
        <w:spacing w:after="0" w:line="408" w:lineRule="auto"/>
        <w:jc w:val="both"/>
        <w:rPr>
          <w:rFonts w:hint="eastAsia" w:ascii="仿宋" w:hAnsi="仿宋" w:eastAsia="仿宋"/>
          <w:sz w:val="28"/>
          <w:szCs w:val="21"/>
        </w:rPr>
      </w:pPr>
    </w:p>
    <w:sectPr>
      <w:footerReference r:id="rId6" w:type="default"/>
      <w:pgSz w:w="11906" w:h="16838"/>
      <w:pgMar w:top="1418" w:right="1134" w:bottom="1418" w:left="1134" w:header="851" w:footer="340"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等线 Light">
    <w:altName w:val="宋体"/>
    <w:panose1 w:val="02010600030101010101"/>
    <w:charset w:val="86"/>
    <w:family w:val="auto"/>
    <w:pitch w:val="default"/>
    <w:sig w:usb0="00000000" w:usb1="00000000" w:usb2="00000016" w:usb3="00000000" w:csb0="0004000F" w:csb1="00000000"/>
  </w:font>
  <w:font w:name="Microsoft YaHei UI">
    <w:panose1 w:val="020B0503020204020204"/>
    <w:charset w:val="86"/>
    <w:family w:val="swiss"/>
    <w:pitch w:val="default"/>
    <w:sig w:usb0="80000287" w:usb1="2ACF3C50" w:usb2="00000016" w:usb3="00000000" w:csb0="0004001F" w:csb1="00000000"/>
  </w:font>
  <w:font w:name="Arial Narrow">
    <w:panose1 w:val="020B0606020202030204"/>
    <w:charset w:val="00"/>
    <w:family w:val="swiss"/>
    <w:pitch w:val="default"/>
    <w:sig w:usb0="00000287" w:usb1="00000800" w:usb2="00000000" w:usb3="00000000" w:csb0="2000009F" w:csb1="DFD70000"/>
  </w:font>
  <w:font w:name="仿宋">
    <w:panose1 w:val="02010609060101010101"/>
    <w:charset w:val="86"/>
    <w:family w:val="modern"/>
    <w:pitch w:val="default"/>
    <w:sig w:usb0="800002BF" w:usb1="38CF7CFA" w:usb2="00000016" w:usb3="00000000" w:csb0="00040001" w:csb1="00000000"/>
  </w:font>
  <w:font w:name="MS Gothic">
    <w:panose1 w:val="020B0609070205080204"/>
    <w:charset w:val="80"/>
    <w:family w:val="modern"/>
    <w:pitch w:val="default"/>
    <w:sig w:usb0="E00002FF" w:usb1="6AC7FDFB" w:usb2="00000012" w:usb3="00000000" w:csb0="4002009F" w:csb1="DFD70000"/>
  </w:font>
  <w:font w:name="等线">
    <w:altName w:val="Arial Unicode MS"/>
    <w:panose1 w:val="00000000000000000000"/>
    <w:charset w:val="00"/>
    <w:family w:val="auto"/>
    <w:pitch w:val="default"/>
    <w:sig w:usb0="00000000" w:usb1="00000000" w:usb2="00000000" w:usb3="00000000" w:csb0="00000000"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方正小标宋简体">
    <w:panose1 w:val="03000509000000000000"/>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19CC0B">
    <w:pPr>
      <w:pStyle w:val="55"/>
      <w:jc w:val="center"/>
      <w:rPr>
        <w:rFonts w:hint="eastAsia"/>
      </w:rPr>
    </w:pPr>
  </w:p>
  <w:p w14:paraId="0E4D9AD1">
    <w:pPr>
      <w:pStyle w:val="55"/>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47540274"/>
    </w:sdtPr>
    <w:sdtContent>
      <w:p w14:paraId="611277D9">
        <w:pPr>
          <w:pStyle w:val="55"/>
          <w:jc w:val="center"/>
          <w:rPr>
            <w:rFonts w:hint="eastAsia"/>
          </w:rPr>
        </w:pPr>
        <w:r>
          <w:fldChar w:fldCharType="begin"/>
        </w:r>
        <w:r>
          <w:instrText xml:space="preserve">PAGE   \* MERGEFORMAT</w:instrText>
        </w:r>
        <w:r>
          <w:fldChar w:fldCharType="separate"/>
        </w:r>
        <w:r>
          <w:rPr>
            <w:lang w:val="zh-CN"/>
          </w:rPr>
          <w:t>1</w:t>
        </w:r>
        <w:r>
          <w:fldChar w:fldCharType="end"/>
        </w:r>
      </w:p>
    </w:sdtContent>
  </w:sdt>
  <w:p w14:paraId="1C8CA18A">
    <w:pPr>
      <w:pStyle w:val="55"/>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65"/>
      <w:lvlText w:val="%1."/>
      <w:lvlJc w:val="left"/>
      <w:pPr>
        <w:tabs>
          <w:tab w:val="left" w:pos="2040"/>
        </w:tabs>
        <w:ind w:left="2040" w:leftChars="800" w:hanging="360" w:hangingChars="200"/>
      </w:pPr>
    </w:lvl>
  </w:abstractNum>
  <w:abstractNum w:abstractNumId="1">
    <w:nsid w:val="FFFFFF7D"/>
    <w:multiLevelType w:val="singleLevel"/>
    <w:tmpl w:val="FFFFFF7D"/>
    <w:lvl w:ilvl="0" w:tentative="0">
      <w:start w:val="1"/>
      <w:numFmt w:val="decimal"/>
      <w:pStyle w:val="47"/>
      <w:lvlText w:val="%1."/>
      <w:lvlJc w:val="left"/>
      <w:pPr>
        <w:tabs>
          <w:tab w:val="left" w:pos="1620"/>
        </w:tabs>
        <w:ind w:left="1620" w:leftChars="600" w:hanging="360" w:hangingChars="200"/>
      </w:pPr>
    </w:lvl>
  </w:abstractNum>
  <w:abstractNum w:abstractNumId="2">
    <w:nsid w:val="FFFFFF7E"/>
    <w:multiLevelType w:val="singleLevel"/>
    <w:tmpl w:val="FFFFFF7E"/>
    <w:lvl w:ilvl="0" w:tentative="0">
      <w:start w:val="1"/>
      <w:numFmt w:val="decimal"/>
      <w:pStyle w:val="36"/>
      <w:lvlText w:val="%1."/>
      <w:lvlJc w:val="left"/>
      <w:pPr>
        <w:tabs>
          <w:tab w:val="left" w:pos="1200"/>
        </w:tabs>
        <w:ind w:left="1200" w:leftChars="400" w:hanging="360" w:hangingChars="200"/>
      </w:pPr>
    </w:lvl>
  </w:abstractNum>
  <w:abstractNum w:abstractNumId="3">
    <w:nsid w:val="FFFFFF7F"/>
    <w:multiLevelType w:val="singleLevel"/>
    <w:tmpl w:val="FFFFFF7F"/>
    <w:lvl w:ilvl="0" w:tentative="0">
      <w:start w:val="1"/>
      <w:numFmt w:val="decimal"/>
      <w:pStyle w:val="14"/>
      <w:lvlText w:val="%1."/>
      <w:lvlJc w:val="left"/>
      <w:pPr>
        <w:tabs>
          <w:tab w:val="left" w:pos="780"/>
        </w:tabs>
        <w:ind w:left="780" w:leftChars="200" w:hanging="360" w:hangingChars="200"/>
      </w:pPr>
    </w:lvl>
  </w:abstractNum>
  <w:abstractNum w:abstractNumId="4">
    <w:nsid w:val="FFFFFF80"/>
    <w:multiLevelType w:val="singleLevel"/>
    <w:tmpl w:val="FFFFFF80"/>
    <w:lvl w:ilvl="0" w:tentative="0">
      <w:start w:val="1"/>
      <w:numFmt w:val="bullet"/>
      <w:pStyle w:val="46"/>
      <w:lvlText w:val=""/>
      <w:lvlJc w:val="left"/>
      <w:pPr>
        <w:tabs>
          <w:tab w:val="left" w:pos="2040"/>
        </w:tabs>
        <w:ind w:left="2040" w:leftChars="800" w:hanging="360" w:hangingChars="200"/>
      </w:pPr>
      <w:rPr>
        <w:rFonts w:hint="default" w:ascii="Wingdings" w:hAnsi="Wingdings"/>
      </w:rPr>
    </w:lvl>
  </w:abstractNum>
  <w:abstractNum w:abstractNumId="5">
    <w:nsid w:val="FFFFFF81"/>
    <w:multiLevelType w:val="singleLevel"/>
    <w:tmpl w:val="FFFFFF81"/>
    <w:lvl w:ilvl="0" w:tentative="0">
      <w:start w:val="1"/>
      <w:numFmt w:val="bullet"/>
      <w:pStyle w:val="17"/>
      <w:lvlText w:val=""/>
      <w:lvlJc w:val="left"/>
      <w:pPr>
        <w:tabs>
          <w:tab w:val="left" w:pos="1620"/>
        </w:tabs>
        <w:ind w:left="1620" w:leftChars="600" w:hanging="360" w:hangingChars="200"/>
      </w:pPr>
      <w:rPr>
        <w:rFonts w:hint="default" w:ascii="Wingdings" w:hAnsi="Wingdings"/>
      </w:rPr>
    </w:lvl>
  </w:abstractNum>
  <w:abstractNum w:abstractNumId="6">
    <w:nsid w:val="FFFFFF82"/>
    <w:multiLevelType w:val="singleLevel"/>
    <w:tmpl w:val="FFFFFF82"/>
    <w:lvl w:ilvl="0" w:tentative="0">
      <w:start w:val="1"/>
      <w:numFmt w:val="bullet"/>
      <w:pStyle w:val="33"/>
      <w:lvlText w:val=""/>
      <w:lvlJc w:val="left"/>
      <w:pPr>
        <w:tabs>
          <w:tab w:val="left" w:pos="1200"/>
        </w:tabs>
        <w:ind w:left="1200" w:leftChars="400" w:hanging="360" w:hangingChars="200"/>
      </w:pPr>
      <w:rPr>
        <w:rFonts w:hint="default" w:ascii="Wingdings" w:hAnsi="Wingdings"/>
      </w:rPr>
    </w:lvl>
  </w:abstractNum>
  <w:abstractNum w:abstractNumId="7">
    <w:nsid w:val="FFFFFF83"/>
    <w:multiLevelType w:val="singleLevel"/>
    <w:tmpl w:val="FFFFFF83"/>
    <w:lvl w:ilvl="0" w:tentative="0">
      <w:start w:val="1"/>
      <w:numFmt w:val="bullet"/>
      <w:pStyle w:val="40"/>
      <w:lvlText w:val=""/>
      <w:lvlJc w:val="left"/>
      <w:pPr>
        <w:tabs>
          <w:tab w:val="left" w:pos="780"/>
        </w:tabs>
        <w:ind w:left="780" w:leftChars="200" w:hanging="360" w:hangingChars="200"/>
      </w:pPr>
      <w:rPr>
        <w:rFonts w:hint="default" w:ascii="Wingdings" w:hAnsi="Wingdings"/>
      </w:rPr>
    </w:lvl>
  </w:abstractNum>
  <w:abstractNum w:abstractNumId="8">
    <w:nsid w:val="FFFFFF88"/>
    <w:multiLevelType w:val="singleLevel"/>
    <w:tmpl w:val="FFFFFF88"/>
    <w:lvl w:ilvl="0" w:tentative="0">
      <w:start w:val="1"/>
      <w:numFmt w:val="decimal"/>
      <w:pStyle w:val="20"/>
      <w:lvlText w:val="%1."/>
      <w:lvlJc w:val="left"/>
      <w:pPr>
        <w:tabs>
          <w:tab w:val="left" w:pos="360"/>
        </w:tabs>
        <w:ind w:left="360" w:hanging="360" w:hangingChars="200"/>
      </w:pPr>
    </w:lvl>
  </w:abstractNum>
  <w:abstractNum w:abstractNumId="9">
    <w:nsid w:val="FFFFFF89"/>
    <w:multiLevelType w:val="singleLevel"/>
    <w:tmpl w:val="FFFFFF89"/>
    <w:lvl w:ilvl="0" w:tentative="0">
      <w:start w:val="1"/>
      <w:numFmt w:val="bullet"/>
      <w:pStyle w:val="24"/>
      <w:lvlText w:val=""/>
      <w:lvlJc w:val="left"/>
      <w:pPr>
        <w:tabs>
          <w:tab w:val="left" w:pos="360"/>
        </w:tabs>
        <w:ind w:left="360" w:hanging="360" w:hangingChars="200"/>
      </w:pPr>
      <w:rPr>
        <w:rFonts w:hint="default" w:ascii="Wingdings" w:hAnsi="Wingdings"/>
      </w:rPr>
    </w:lvl>
  </w:abstractNum>
  <w:num w:numId="1">
    <w:abstractNumId w:val="3"/>
  </w:num>
  <w:num w:numId="2">
    <w:abstractNumId w:val="5"/>
  </w:num>
  <w:num w:numId="3">
    <w:abstractNumId w:val="8"/>
  </w:num>
  <w:num w:numId="4">
    <w:abstractNumId w:val="9"/>
  </w:num>
  <w:num w:numId="5">
    <w:abstractNumId w:val="6"/>
  </w:num>
  <w:num w:numId="6">
    <w:abstractNumId w:val="2"/>
  </w:num>
  <w:num w:numId="7">
    <w:abstractNumId w:val="7"/>
  </w:num>
  <w:num w:numId="8">
    <w:abstractNumId w:val="4"/>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1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M0NTJmMzg4ZGEwNWZlODZiZjU2NWZmMzRjMjM0YWEifQ=="/>
  </w:docVars>
  <w:rsids>
    <w:rsidRoot w:val="003F1829"/>
    <w:rsid w:val="00000E08"/>
    <w:rsid w:val="0000117A"/>
    <w:rsid w:val="000037D8"/>
    <w:rsid w:val="0000398C"/>
    <w:rsid w:val="00005F58"/>
    <w:rsid w:val="00006C57"/>
    <w:rsid w:val="0001032F"/>
    <w:rsid w:val="0001082F"/>
    <w:rsid w:val="00014F8B"/>
    <w:rsid w:val="00015811"/>
    <w:rsid w:val="00015A30"/>
    <w:rsid w:val="000172AE"/>
    <w:rsid w:val="000179CA"/>
    <w:rsid w:val="00020667"/>
    <w:rsid w:val="000208A1"/>
    <w:rsid w:val="00021E96"/>
    <w:rsid w:val="000266C2"/>
    <w:rsid w:val="000268AF"/>
    <w:rsid w:val="00026E99"/>
    <w:rsid w:val="000311F4"/>
    <w:rsid w:val="000353F7"/>
    <w:rsid w:val="0003634E"/>
    <w:rsid w:val="00036BDF"/>
    <w:rsid w:val="00036C92"/>
    <w:rsid w:val="000371F9"/>
    <w:rsid w:val="00045E85"/>
    <w:rsid w:val="00047048"/>
    <w:rsid w:val="00050033"/>
    <w:rsid w:val="000518D0"/>
    <w:rsid w:val="00053338"/>
    <w:rsid w:val="0005334B"/>
    <w:rsid w:val="00053E8B"/>
    <w:rsid w:val="00054465"/>
    <w:rsid w:val="00057FA8"/>
    <w:rsid w:val="00060696"/>
    <w:rsid w:val="00060D63"/>
    <w:rsid w:val="00061C19"/>
    <w:rsid w:val="00061D58"/>
    <w:rsid w:val="00062F62"/>
    <w:rsid w:val="00063213"/>
    <w:rsid w:val="00063C97"/>
    <w:rsid w:val="00064196"/>
    <w:rsid w:val="00064327"/>
    <w:rsid w:val="00064728"/>
    <w:rsid w:val="00064948"/>
    <w:rsid w:val="00064EDE"/>
    <w:rsid w:val="00065D3A"/>
    <w:rsid w:val="00066B7A"/>
    <w:rsid w:val="00067218"/>
    <w:rsid w:val="000674BA"/>
    <w:rsid w:val="00067962"/>
    <w:rsid w:val="00070C02"/>
    <w:rsid w:val="00071AAC"/>
    <w:rsid w:val="000724BC"/>
    <w:rsid w:val="000745CE"/>
    <w:rsid w:val="000754CB"/>
    <w:rsid w:val="000764BE"/>
    <w:rsid w:val="000777ED"/>
    <w:rsid w:val="00080E01"/>
    <w:rsid w:val="00082C23"/>
    <w:rsid w:val="00082CB9"/>
    <w:rsid w:val="00083E1D"/>
    <w:rsid w:val="00084DBB"/>
    <w:rsid w:val="00085C6A"/>
    <w:rsid w:val="00086E3E"/>
    <w:rsid w:val="000916B0"/>
    <w:rsid w:val="00091A57"/>
    <w:rsid w:val="000926FB"/>
    <w:rsid w:val="00093F91"/>
    <w:rsid w:val="000948FF"/>
    <w:rsid w:val="000A1BBE"/>
    <w:rsid w:val="000A4498"/>
    <w:rsid w:val="000A4FB2"/>
    <w:rsid w:val="000A547D"/>
    <w:rsid w:val="000A6A6C"/>
    <w:rsid w:val="000A73A2"/>
    <w:rsid w:val="000A78A2"/>
    <w:rsid w:val="000B01DA"/>
    <w:rsid w:val="000B148A"/>
    <w:rsid w:val="000B2B28"/>
    <w:rsid w:val="000B3575"/>
    <w:rsid w:val="000B3C9E"/>
    <w:rsid w:val="000B3DD6"/>
    <w:rsid w:val="000B4455"/>
    <w:rsid w:val="000B4CC7"/>
    <w:rsid w:val="000B57D6"/>
    <w:rsid w:val="000B6E9E"/>
    <w:rsid w:val="000B7343"/>
    <w:rsid w:val="000B79E2"/>
    <w:rsid w:val="000B7DA9"/>
    <w:rsid w:val="000C037B"/>
    <w:rsid w:val="000C18B0"/>
    <w:rsid w:val="000C26EC"/>
    <w:rsid w:val="000C2BAD"/>
    <w:rsid w:val="000C350F"/>
    <w:rsid w:val="000C488E"/>
    <w:rsid w:val="000C4CDD"/>
    <w:rsid w:val="000C57C1"/>
    <w:rsid w:val="000C5AEA"/>
    <w:rsid w:val="000C5D11"/>
    <w:rsid w:val="000D0F6A"/>
    <w:rsid w:val="000D115C"/>
    <w:rsid w:val="000D1D81"/>
    <w:rsid w:val="000D2D1F"/>
    <w:rsid w:val="000D3752"/>
    <w:rsid w:val="000D49E6"/>
    <w:rsid w:val="000D51C9"/>
    <w:rsid w:val="000D63C0"/>
    <w:rsid w:val="000D6F7E"/>
    <w:rsid w:val="000D74AE"/>
    <w:rsid w:val="000E0BAB"/>
    <w:rsid w:val="000E1A4A"/>
    <w:rsid w:val="000E1B4E"/>
    <w:rsid w:val="000E2369"/>
    <w:rsid w:val="000E67D6"/>
    <w:rsid w:val="000E6C47"/>
    <w:rsid w:val="000F2C65"/>
    <w:rsid w:val="000F40EB"/>
    <w:rsid w:val="000F43AF"/>
    <w:rsid w:val="000F4A6C"/>
    <w:rsid w:val="000F53BA"/>
    <w:rsid w:val="000F5E2D"/>
    <w:rsid w:val="000F67D2"/>
    <w:rsid w:val="000F6DA0"/>
    <w:rsid w:val="001006DA"/>
    <w:rsid w:val="00101FC4"/>
    <w:rsid w:val="00104F6D"/>
    <w:rsid w:val="001052DE"/>
    <w:rsid w:val="001060C4"/>
    <w:rsid w:val="00106500"/>
    <w:rsid w:val="00107BD9"/>
    <w:rsid w:val="00112FCC"/>
    <w:rsid w:val="00113147"/>
    <w:rsid w:val="00113470"/>
    <w:rsid w:val="001141E5"/>
    <w:rsid w:val="00114CDD"/>
    <w:rsid w:val="001150A9"/>
    <w:rsid w:val="001167DC"/>
    <w:rsid w:val="001207DF"/>
    <w:rsid w:val="00120F04"/>
    <w:rsid w:val="00122599"/>
    <w:rsid w:val="00124335"/>
    <w:rsid w:val="00124F30"/>
    <w:rsid w:val="001250AC"/>
    <w:rsid w:val="0012700F"/>
    <w:rsid w:val="001300A0"/>
    <w:rsid w:val="001325B8"/>
    <w:rsid w:val="00133DED"/>
    <w:rsid w:val="00134924"/>
    <w:rsid w:val="00135FAB"/>
    <w:rsid w:val="00137865"/>
    <w:rsid w:val="00137E17"/>
    <w:rsid w:val="0014221C"/>
    <w:rsid w:val="001429C6"/>
    <w:rsid w:val="00142C8E"/>
    <w:rsid w:val="0014641A"/>
    <w:rsid w:val="00146FE3"/>
    <w:rsid w:val="001529B2"/>
    <w:rsid w:val="001529F5"/>
    <w:rsid w:val="00154416"/>
    <w:rsid w:val="00154487"/>
    <w:rsid w:val="00155497"/>
    <w:rsid w:val="0015554F"/>
    <w:rsid w:val="001560B8"/>
    <w:rsid w:val="00156393"/>
    <w:rsid w:val="00160E10"/>
    <w:rsid w:val="00161D11"/>
    <w:rsid w:val="001642AA"/>
    <w:rsid w:val="001645A5"/>
    <w:rsid w:val="00165796"/>
    <w:rsid w:val="0016636B"/>
    <w:rsid w:val="0016646A"/>
    <w:rsid w:val="0016739A"/>
    <w:rsid w:val="001675D1"/>
    <w:rsid w:val="00171DB6"/>
    <w:rsid w:val="00171EA3"/>
    <w:rsid w:val="00173249"/>
    <w:rsid w:val="00175E0C"/>
    <w:rsid w:val="0017686D"/>
    <w:rsid w:val="00176B27"/>
    <w:rsid w:val="00180B93"/>
    <w:rsid w:val="00180F22"/>
    <w:rsid w:val="00181F0A"/>
    <w:rsid w:val="00181FF7"/>
    <w:rsid w:val="0018248C"/>
    <w:rsid w:val="0018260B"/>
    <w:rsid w:val="00183738"/>
    <w:rsid w:val="00187225"/>
    <w:rsid w:val="00191B8E"/>
    <w:rsid w:val="00196312"/>
    <w:rsid w:val="00196ADA"/>
    <w:rsid w:val="00196B93"/>
    <w:rsid w:val="00197678"/>
    <w:rsid w:val="001A14E2"/>
    <w:rsid w:val="001A1889"/>
    <w:rsid w:val="001A20CD"/>
    <w:rsid w:val="001A2621"/>
    <w:rsid w:val="001A2B29"/>
    <w:rsid w:val="001A42EF"/>
    <w:rsid w:val="001A4784"/>
    <w:rsid w:val="001A53A8"/>
    <w:rsid w:val="001A56CF"/>
    <w:rsid w:val="001A5B1F"/>
    <w:rsid w:val="001A7CA9"/>
    <w:rsid w:val="001A7F0B"/>
    <w:rsid w:val="001B14CB"/>
    <w:rsid w:val="001B5A7B"/>
    <w:rsid w:val="001C1113"/>
    <w:rsid w:val="001C3A78"/>
    <w:rsid w:val="001C464D"/>
    <w:rsid w:val="001C7551"/>
    <w:rsid w:val="001D2A26"/>
    <w:rsid w:val="001D4B1A"/>
    <w:rsid w:val="001D536A"/>
    <w:rsid w:val="001D54B7"/>
    <w:rsid w:val="001D6DAF"/>
    <w:rsid w:val="001D78A4"/>
    <w:rsid w:val="001E0F91"/>
    <w:rsid w:val="001E2DD3"/>
    <w:rsid w:val="001E2E9A"/>
    <w:rsid w:val="001E3B63"/>
    <w:rsid w:val="001E52A6"/>
    <w:rsid w:val="001E703C"/>
    <w:rsid w:val="001F1092"/>
    <w:rsid w:val="001F2191"/>
    <w:rsid w:val="001F3B98"/>
    <w:rsid w:val="001F457F"/>
    <w:rsid w:val="001F4899"/>
    <w:rsid w:val="001F50DC"/>
    <w:rsid w:val="001F5270"/>
    <w:rsid w:val="001F5897"/>
    <w:rsid w:val="0020110C"/>
    <w:rsid w:val="0020181D"/>
    <w:rsid w:val="00204AF7"/>
    <w:rsid w:val="00205A72"/>
    <w:rsid w:val="00205CB1"/>
    <w:rsid w:val="002069B3"/>
    <w:rsid w:val="002070EF"/>
    <w:rsid w:val="002109DF"/>
    <w:rsid w:val="0021183B"/>
    <w:rsid w:val="00212B57"/>
    <w:rsid w:val="00215D6E"/>
    <w:rsid w:val="00223F0B"/>
    <w:rsid w:val="0022506D"/>
    <w:rsid w:val="00225207"/>
    <w:rsid w:val="002278DB"/>
    <w:rsid w:val="00232CE5"/>
    <w:rsid w:val="002331CD"/>
    <w:rsid w:val="002336AB"/>
    <w:rsid w:val="002377FD"/>
    <w:rsid w:val="00240E29"/>
    <w:rsid w:val="00242A9E"/>
    <w:rsid w:val="00245446"/>
    <w:rsid w:val="00245EB2"/>
    <w:rsid w:val="00246A4F"/>
    <w:rsid w:val="00247286"/>
    <w:rsid w:val="002476C9"/>
    <w:rsid w:val="002505CD"/>
    <w:rsid w:val="002509C4"/>
    <w:rsid w:val="00252ED3"/>
    <w:rsid w:val="002535FB"/>
    <w:rsid w:val="0025545B"/>
    <w:rsid w:val="002560B6"/>
    <w:rsid w:val="00257322"/>
    <w:rsid w:val="00257EDA"/>
    <w:rsid w:val="00257EDC"/>
    <w:rsid w:val="00260037"/>
    <w:rsid w:val="00261BAC"/>
    <w:rsid w:val="002622BB"/>
    <w:rsid w:val="00265ECD"/>
    <w:rsid w:val="00270EF7"/>
    <w:rsid w:val="00272B21"/>
    <w:rsid w:val="00272D51"/>
    <w:rsid w:val="00273D2F"/>
    <w:rsid w:val="0027474D"/>
    <w:rsid w:val="00276A2A"/>
    <w:rsid w:val="00277119"/>
    <w:rsid w:val="00277B6C"/>
    <w:rsid w:val="00280C33"/>
    <w:rsid w:val="00282824"/>
    <w:rsid w:val="00282D77"/>
    <w:rsid w:val="00283740"/>
    <w:rsid w:val="0028533B"/>
    <w:rsid w:val="00287143"/>
    <w:rsid w:val="00287930"/>
    <w:rsid w:val="00291E4D"/>
    <w:rsid w:val="002942B1"/>
    <w:rsid w:val="00295B27"/>
    <w:rsid w:val="00295F12"/>
    <w:rsid w:val="002963F3"/>
    <w:rsid w:val="00297D18"/>
    <w:rsid w:val="002A32A4"/>
    <w:rsid w:val="002A359C"/>
    <w:rsid w:val="002A3FF5"/>
    <w:rsid w:val="002A45BC"/>
    <w:rsid w:val="002A4DED"/>
    <w:rsid w:val="002B0014"/>
    <w:rsid w:val="002B1A12"/>
    <w:rsid w:val="002B1CCA"/>
    <w:rsid w:val="002B1FBA"/>
    <w:rsid w:val="002B383A"/>
    <w:rsid w:val="002B4CBB"/>
    <w:rsid w:val="002B5800"/>
    <w:rsid w:val="002B5CC8"/>
    <w:rsid w:val="002B6FCB"/>
    <w:rsid w:val="002B7060"/>
    <w:rsid w:val="002C09A5"/>
    <w:rsid w:val="002C0AAD"/>
    <w:rsid w:val="002C0BE6"/>
    <w:rsid w:val="002C1E98"/>
    <w:rsid w:val="002C2358"/>
    <w:rsid w:val="002C2702"/>
    <w:rsid w:val="002C3997"/>
    <w:rsid w:val="002C40CA"/>
    <w:rsid w:val="002C4CEB"/>
    <w:rsid w:val="002C7E9C"/>
    <w:rsid w:val="002D0392"/>
    <w:rsid w:val="002D1578"/>
    <w:rsid w:val="002D178D"/>
    <w:rsid w:val="002D1B10"/>
    <w:rsid w:val="002D2AE6"/>
    <w:rsid w:val="002D2CAD"/>
    <w:rsid w:val="002D4A3E"/>
    <w:rsid w:val="002D4A8A"/>
    <w:rsid w:val="002D7D98"/>
    <w:rsid w:val="002D7DB4"/>
    <w:rsid w:val="002E0B33"/>
    <w:rsid w:val="002E14E1"/>
    <w:rsid w:val="002E19DB"/>
    <w:rsid w:val="002E5B44"/>
    <w:rsid w:val="002E691D"/>
    <w:rsid w:val="002F13AD"/>
    <w:rsid w:val="002F2CD3"/>
    <w:rsid w:val="002F3633"/>
    <w:rsid w:val="002F3E8E"/>
    <w:rsid w:val="002F3FE9"/>
    <w:rsid w:val="002F5B77"/>
    <w:rsid w:val="002F732C"/>
    <w:rsid w:val="003001C2"/>
    <w:rsid w:val="00305F07"/>
    <w:rsid w:val="00306ACC"/>
    <w:rsid w:val="00306D6E"/>
    <w:rsid w:val="00307C1E"/>
    <w:rsid w:val="00310DEA"/>
    <w:rsid w:val="00311708"/>
    <w:rsid w:val="003133D4"/>
    <w:rsid w:val="00314240"/>
    <w:rsid w:val="003149BC"/>
    <w:rsid w:val="0031696C"/>
    <w:rsid w:val="00317461"/>
    <w:rsid w:val="003214C4"/>
    <w:rsid w:val="00327FE7"/>
    <w:rsid w:val="00330AD9"/>
    <w:rsid w:val="003341D2"/>
    <w:rsid w:val="00334BAD"/>
    <w:rsid w:val="003355E9"/>
    <w:rsid w:val="00337E49"/>
    <w:rsid w:val="003400FA"/>
    <w:rsid w:val="00340719"/>
    <w:rsid w:val="00342CD4"/>
    <w:rsid w:val="00344898"/>
    <w:rsid w:val="003461FE"/>
    <w:rsid w:val="00346202"/>
    <w:rsid w:val="003466C4"/>
    <w:rsid w:val="00346A78"/>
    <w:rsid w:val="00346C30"/>
    <w:rsid w:val="00347399"/>
    <w:rsid w:val="00347E6C"/>
    <w:rsid w:val="00350850"/>
    <w:rsid w:val="00350A3D"/>
    <w:rsid w:val="0035199B"/>
    <w:rsid w:val="003551B2"/>
    <w:rsid w:val="003552B4"/>
    <w:rsid w:val="0035621E"/>
    <w:rsid w:val="00360266"/>
    <w:rsid w:val="00363F8A"/>
    <w:rsid w:val="003658AE"/>
    <w:rsid w:val="00365DA7"/>
    <w:rsid w:val="003704F5"/>
    <w:rsid w:val="00375336"/>
    <w:rsid w:val="0037753E"/>
    <w:rsid w:val="00380DCB"/>
    <w:rsid w:val="00380FAA"/>
    <w:rsid w:val="0038179D"/>
    <w:rsid w:val="0038255C"/>
    <w:rsid w:val="00383514"/>
    <w:rsid w:val="00384C66"/>
    <w:rsid w:val="003857BE"/>
    <w:rsid w:val="00385C7A"/>
    <w:rsid w:val="0038664E"/>
    <w:rsid w:val="0039013E"/>
    <w:rsid w:val="00390711"/>
    <w:rsid w:val="0039176F"/>
    <w:rsid w:val="00391CBC"/>
    <w:rsid w:val="003932C4"/>
    <w:rsid w:val="00393BE6"/>
    <w:rsid w:val="00397494"/>
    <w:rsid w:val="003A1181"/>
    <w:rsid w:val="003A2BD6"/>
    <w:rsid w:val="003A3798"/>
    <w:rsid w:val="003A5342"/>
    <w:rsid w:val="003A53A2"/>
    <w:rsid w:val="003A6730"/>
    <w:rsid w:val="003B4941"/>
    <w:rsid w:val="003B56FD"/>
    <w:rsid w:val="003B7E16"/>
    <w:rsid w:val="003C0DEF"/>
    <w:rsid w:val="003C14CC"/>
    <w:rsid w:val="003C1B2C"/>
    <w:rsid w:val="003C3ADF"/>
    <w:rsid w:val="003C4F6D"/>
    <w:rsid w:val="003C519F"/>
    <w:rsid w:val="003C5A65"/>
    <w:rsid w:val="003C5D7B"/>
    <w:rsid w:val="003C61BC"/>
    <w:rsid w:val="003D3A54"/>
    <w:rsid w:val="003D5768"/>
    <w:rsid w:val="003D5AE2"/>
    <w:rsid w:val="003E0038"/>
    <w:rsid w:val="003E1C82"/>
    <w:rsid w:val="003E2520"/>
    <w:rsid w:val="003E2D29"/>
    <w:rsid w:val="003E2EB5"/>
    <w:rsid w:val="003E3A06"/>
    <w:rsid w:val="003E4332"/>
    <w:rsid w:val="003E56D6"/>
    <w:rsid w:val="003F075D"/>
    <w:rsid w:val="003F0953"/>
    <w:rsid w:val="003F1829"/>
    <w:rsid w:val="003F3EE0"/>
    <w:rsid w:val="003F4932"/>
    <w:rsid w:val="003F538D"/>
    <w:rsid w:val="003F57E1"/>
    <w:rsid w:val="003F683D"/>
    <w:rsid w:val="003F7709"/>
    <w:rsid w:val="0040036D"/>
    <w:rsid w:val="00403A05"/>
    <w:rsid w:val="004058B1"/>
    <w:rsid w:val="004061CF"/>
    <w:rsid w:val="0040650C"/>
    <w:rsid w:val="004109EF"/>
    <w:rsid w:val="00411357"/>
    <w:rsid w:val="00414090"/>
    <w:rsid w:val="004140AC"/>
    <w:rsid w:val="00414515"/>
    <w:rsid w:val="00416653"/>
    <w:rsid w:val="00416C04"/>
    <w:rsid w:val="004172D5"/>
    <w:rsid w:val="004178A4"/>
    <w:rsid w:val="00421563"/>
    <w:rsid w:val="00421667"/>
    <w:rsid w:val="00424FFE"/>
    <w:rsid w:val="004250CC"/>
    <w:rsid w:val="00426AC8"/>
    <w:rsid w:val="0042711F"/>
    <w:rsid w:val="00431EFD"/>
    <w:rsid w:val="00434772"/>
    <w:rsid w:val="00434969"/>
    <w:rsid w:val="004369E3"/>
    <w:rsid w:val="004379D3"/>
    <w:rsid w:val="0044082A"/>
    <w:rsid w:val="00441932"/>
    <w:rsid w:val="00444C9E"/>
    <w:rsid w:val="00445557"/>
    <w:rsid w:val="00445823"/>
    <w:rsid w:val="00446F37"/>
    <w:rsid w:val="004471BB"/>
    <w:rsid w:val="00447A37"/>
    <w:rsid w:val="00451C56"/>
    <w:rsid w:val="004526AE"/>
    <w:rsid w:val="004528F9"/>
    <w:rsid w:val="00452900"/>
    <w:rsid w:val="0045402A"/>
    <w:rsid w:val="00454EF8"/>
    <w:rsid w:val="00461A98"/>
    <w:rsid w:val="00461B04"/>
    <w:rsid w:val="00462CD8"/>
    <w:rsid w:val="00464E6F"/>
    <w:rsid w:val="00464E76"/>
    <w:rsid w:val="0046509A"/>
    <w:rsid w:val="00465228"/>
    <w:rsid w:val="00472188"/>
    <w:rsid w:val="00472A19"/>
    <w:rsid w:val="0047326F"/>
    <w:rsid w:val="00474786"/>
    <w:rsid w:val="00474E71"/>
    <w:rsid w:val="00475185"/>
    <w:rsid w:val="0048010A"/>
    <w:rsid w:val="0048034E"/>
    <w:rsid w:val="004808ED"/>
    <w:rsid w:val="00480BF3"/>
    <w:rsid w:val="004822EA"/>
    <w:rsid w:val="00483EDE"/>
    <w:rsid w:val="00485309"/>
    <w:rsid w:val="00485C28"/>
    <w:rsid w:val="00486D9D"/>
    <w:rsid w:val="004900BD"/>
    <w:rsid w:val="00490C68"/>
    <w:rsid w:val="00491140"/>
    <w:rsid w:val="00491980"/>
    <w:rsid w:val="0049362A"/>
    <w:rsid w:val="00497777"/>
    <w:rsid w:val="004A25A1"/>
    <w:rsid w:val="004A2670"/>
    <w:rsid w:val="004A3E92"/>
    <w:rsid w:val="004A417D"/>
    <w:rsid w:val="004A4A27"/>
    <w:rsid w:val="004A578F"/>
    <w:rsid w:val="004A5CB8"/>
    <w:rsid w:val="004A5D3E"/>
    <w:rsid w:val="004B2275"/>
    <w:rsid w:val="004B2D29"/>
    <w:rsid w:val="004B4FB5"/>
    <w:rsid w:val="004B5DE1"/>
    <w:rsid w:val="004B6601"/>
    <w:rsid w:val="004B6E70"/>
    <w:rsid w:val="004C08DF"/>
    <w:rsid w:val="004C17BA"/>
    <w:rsid w:val="004C1F9E"/>
    <w:rsid w:val="004C4643"/>
    <w:rsid w:val="004C4EBF"/>
    <w:rsid w:val="004D054F"/>
    <w:rsid w:val="004D145E"/>
    <w:rsid w:val="004D1BD5"/>
    <w:rsid w:val="004D2B6C"/>
    <w:rsid w:val="004D3041"/>
    <w:rsid w:val="004D318F"/>
    <w:rsid w:val="004D6829"/>
    <w:rsid w:val="004D7293"/>
    <w:rsid w:val="004D7D35"/>
    <w:rsid w:val="004E0D10"/>
    <w:rsid w:val="004E130F"/>
    <w:rsid w:val="004E3F15"/>
    <w:rsid w:val="004F4108"/>
    <w:rsid w:val="004F58F0"/>
    <w:rsid w:val="004F75ED"/>
    <w:rsid w:val="004F7C15"/>
    <w:rsid w:val="00501476"/>
    <w:rsid w:val="00501E38"/>
    <w:rsid w:val="00501E67"/>
    <w:rsid w:val="00504C79"/>
    <w:rsid w:val="00504D2A"/>
    <w:rsid w:val="0050650F"/>
    <w:rsid w:val="005110CE"/>
    <w:rsid w:val="00511B60"/>
    <w:rsid w:val="00512032"/>
    <w:rsid w:val="005128C6"/>
    <w:rsid w:val="005144C6"/>
    <w:rsid w:val="00515077"/>
    <w:rsid w:val="00515512"/>
    <w:rsid w:val="0051595B"/>
    <w:rsid w:val="00516AD7"/>
    <w:rsid w:val="00520027"/>
    <w:rsid w:val="005207A7"/>
    <w:rsid w:val="005217DD"/>
    <w:rsid w:val="00521D1F"/>
    <w:rsid w:val="00527527"/>
    <w:rsid w:val="005302CE"/>
    <w:rsid w:val="00533885"/>
    <w:rsid w:val="005344A4"/>
    <w:rsid w:val="00534515"/>
    <w:rsid w:val="005346AD"/>
    <w:rsid w:val="00535E31"/>
    <w:rsid w:val="00536A51"/>
    <w:rsid w:val="005372CF"/>
    <w:rsid w:val="00540C44"/>
    <w:rsid w:val="00541549"/>
    <w:rsid w:val="00541F2C"/>
    <w:rsid w:val="00543170"/>
    <w:rsid w:val="00543B5C"/>
    <w:rsid w:val="005443D1"/>
    <w:rsid w:val="00545B54"/>
    <w:rsid w:val="00546C50"/>
    <w:rsid w:val="005474E2"/>
    <w:rsid w:val="00551D26"/>
    <w:rsid w:val="0055307A"/>
    <w:rsid w:val="005531CD"/>
    <w:rsid w:val="005542AA"/>
    <w:rsid w:val="0055455D"/>
    <w:rsid w:val="00554A71"/>
    <w:rsid w:val="00556974"/>
    <w:rsid w:val="00556F99"/>
    <w:rsid w:val="0056036F"/>
    <w:rsid w:val="0056067E"/>
    <w:rsid w:val="005607E0"/>
    <w:rsid w:val="00563A89"/>
    <w:rsid w:val="00563ADB"/>
    <w:rsid w:val="0056592D"/>
    <w:rsid w:val="00567006"/>
    <w:rsid w:val="00570A3F"/>
    <w:rsid w:val="00570DFE"/>
    <w:rsid w:val="00573414"/>
    <w:rsid w:val="0057405A"/>
    <w:rsid w:val="005748B2"/>
    <w:rsid w:val="0058021D"/>
    <w:rsid w:val="00580CC0"/>
    <w:rsid w:val="00584FF2"/>
    <w:rsid w:val="005864C1"/>
    <w:rsid w:val="00586854"/>
    <w:rsid w:val="00586A21"/>
    <w:rsid w:val="00586C43"/>
    <w:rsid w:val="00592257"/>
    <w:rsid w:val="00592937"/>
    <w:rsid w:val="005967B3"/>
    <w:rsid w:val="00596951"/>
    <w:rsid w:val="005A170B"/>
    <w:rsid w:val="005A19AC"/>
    <w:rsid w:val="005A2351"/>
    <w:rsid w:val="005A2605"/>
    <w:rsid w:val="005A359D"/>
    <w:rsid w:val="005A4B58"/>
    <w:rsid w:val="005A529A"/>
    <w:rsid w:val="005B0165"/>
    <w:rsid w:val="005B126A"/>
    <w:rsid w:val="005B2C48"/>
    <w:rsid w:val="005B2F09"/>
    <w:rsid w:val="005B4428"/>
    <w:rsid w:val="005B44EB"/>
    <w:rsid w:val="005B52F2"/>
    <w:rsid w:val="005B55DA"/>
    <w:rsid w:val="005B6C53"/>
    <w:rsid w:val="005C00AB"/>
    <w:rsid w:val="005C1925"/>
    <w:rsid w:val="005C4772"/>
    <w:rsid w:val="005C61C9"/>
    <w:rsid w:val="005C679E"/>
    <w:rsid w:val="005C68D9"/>
    <w:rsid w:val="005D03D9"/>
    <w:rsid w:val="005D14C6"/>
    <w:rsid w:val="005D24E4"/>
    <w:rsid w:val="005D4937"/>
    <w:rsid w:val="005D60A7"/>
    <w:rsid w:val="005D66DA"/>
    <w:rsid w:val="005D7672"/>
    <w:rsid w:val="005E1292"/>
    <w:rsid w:val="005E162E"/>
    <w:rsid w:val="005E17DC"/>
    <w:rsid w:val="005E1DB1"/>
    <w:rsid w:val="005E2DE3"/>
    <w:rsid w:val="005E30BF"/>
    <w:rsid w:val="005E4211"/>
    <w:rsid w:val="005E4663"/>
    <w:rsid w:val="005E5E08"/>
    <w:rsid w:val="005F1418"/>
    <w:rsid w:val="005F148E"/>
    <w:rsid w:val="005F49EE"/>
    <w:rsid w:val="005F516F"/>
    <w:rsid w:val="005F520C"/>
    <w:rsid w:val="005F56E0"/>
    <w:rsid w:val="005F5A81"/>
    <w:rsid w:val="005F668B"/>
    <w:rsid w:val="005F791B"/>
    <w:rsid w:val="00602118"/>
    <w:rsid w:val="00604B5E"/>
    <w:rsid w:val="00606056"/>
    <w:rsid w:val="00606728"/>
    <w:rsid w:val="0060769D"/>
    <w:rsid w:val="0061171F"/>
    <w:rsid w:val="0061214A"/>
    <w:rsid w:val="006121C7"/>
    <w:rsid w:val="00613098"/>
    <w:rsid w:val="00613FBF"/>
    <w:rsid w:val="006145CF"/>
    <w:rsid w:val="0061561C"/>
    <w:rsid w:val="00615DDE"/>
    <w:rsid w:val="0061751F"/>
    <w:rsid w:val="006204CA"/>
    <w:rsid w:val="006213AC"/>
    <w:rsid w:val="006233E4"/>
    <w:rsid w:val="006241F0"/>
    <w:rsid w:val="006244D5"/>
    <w:rsid w:val="00625E60"/>
    <w:rsid w:val="006266FE"/>
    <w:rsid w:val="0063057C"/>
    <w:rsid w:val="006307D2"/>
    <w:rsid w:val="0063235B"/>
    <w:rsid w:val="00633046"/>
    <w:rsid w:val="006332CC"/>
    <w:rsid w:val="00633591"/>
    <w:rsid w:val="006343E4"/>
    <w:rsid w:val="00634D36"/>
    <w:rsid w:val="00636EAC"/>
    <w:rsid w:val="0063751B"/>
    <w:rsid w:val="00637539"/>
    <w:rsid w:val="00637844"/>
    <w:rsid w:val="00640053"/>
    <w:rsid w:val="0064095E"/>
    <w:rsid w:val="00642CE5"/>
    <w:rsid w:val="006453DB"/>
    <w:rsid w:val="00645B96"/>
    <w:rsid w:val="00645C60"/>
    <w:rsid w:val="0064618D"/>
    <w:rsid w:val="00646578"/>
    <w:rsid w:val="0065020B"/>
    <w:rsid w:val="006522EF"/>
    <w:rsid w:val="006540D1"/>
    <w:rsid w:val="006552BE"/>
    <w:rsid w:val="00656D28"/>
    <w:rsid w:val="00661D9F"/>
    <w:rsid w:val="006626B0"/>
    <w:rsid w:val="00664A8B"/>
    <w:rsid w:val="006660B5"/>
    <w:rsid w:val="006667F1"/>
    <w:rsid w:val="0066707A"/>
    <w:rsid w:val="0066720F"/>
    <w:rsid w:val="0067034F"/>
    <w:rsid w:val="006716CF"/>
    <w:rsid w:val="00671866"/>
    <w:rsid w:val="00673725"/>
    <w:rsid w:val="006738EB"/>
    <w:rsid w:val="00676CB8"/>
    <w:rsid w:val="0067777C"/>
    <w:rsid w:val="006777A2"/>
    <w:rsid w:val="00680844"/>
    <w:rsid w:val="006811DA"/>
    <w:rsid w:val="00681A39"/>
    <w:rsid w:val="00684E43"/>
    <w:rsid w:val="006862A2"/>
    <w:rsid w:val="00687C35"/>
    <w:rsid w:val="006915A0"/>
    <w:rsid w:val="00692362"/>
    <w:rsid w:val="00694F31"/>
    <w:rsid w:val="00695BB8"/>
    <w:rsid w:val="006962B5"/>
    <w:rsid w:val="006A0497"/>
    <w:rsid w:val="006A0B0E"/>
    <w:rsid w:val="006A1B27"/>
    <w:rsid w:val="006A4FDE"/>
    <w:rsid w:val="006A6AC1"/>
    <w:rsid w:val="006B12F7"/>
    <w:rsid w:val="006B2EC9"/>
    <w:rsid w:val="006B412C"/>
    <w:rsid w:val="006B43BA"/>
    <w:rsid w:val="006B4DAE"/>
    <w:rsid w:val="006B5E93"/>
    <w:rsid w:val="006B5EF0"/>
    <w:rsid w:val="006B66A2"/>
    <w:rsid w:val="006B6DCA"/>
    <w:rsid w:val="006B73FC"/>
    <w:rsid w:val="006C24B6"/>
    <w:rsid w:val="006C2BCB"/>
    <w:rsid w:val="006C4D02"/>
    <w:rsid w:val="006C5301"/>
    <w:rsid w:val="006D0C73"/>
    <w:rsid w:val="006D101F"/>
    <w:rsid w:val="006D2D92"/>
    <w:rsid w:val="006D3D66"/>
    <w:rsid w:val="006D47FF"/>
    <w:rsid w:val="006D5996"/>
    <w:rsid w:val="006D6649"/>
    <w:rsid w:val="006D688B"/>
    <w:rsid w:val="006E02F7"/>
    <w:rsid w:val="006E2752"/>
    <w:rsid w:val="006E41A9"/>
    <w:rsid w:val="006E645F"/>
    <w:rsid w:val="006E6574"/>
    <w:rsid w:val="006E706C"/>
    <w:rsid w:val="006E7D98"/>
    <w:rsid w:val="006F0830"/>
    <w:rsid w:val="006F0DCE"/>
    <w:rsid w:val="006F1854"/>
    <w:rsid w:val="006F1C5C"/>
    <w:rsid w:val="006F2308"/>
    <w:rsid w:val="006F2CC4"/>
    <w:rsid w:val="006F2FAE"/>
    <w:rsid w:val="006F480B"/>
    <w:rsid w:val="006F4CC2"/>
    <w:rsid w:val="006F5C5C"/>
    <w:rsid w:val="006F706E"/>
    <w:rsid w:val="006F736C"/>
    <w:rsid w:val="0070125A"/>
    <w:rsid w:val="007019B5"/>
    <w:rsid w:val="00701C44"/>
    <w:rsid w:val="007035E4"/>
    <w:rsid w:val="00703A54"/>
    <w:rsid w:val="007051C6"/>
    <w:rsid w:val="007065EA"/>
    <w:rsid w:val="00707C85"/>
    <w:rsid w:val="00710656"/>
    <w:rsid w:val="00711E8D"/>
    <w:rsid w:val="0071448F"/>
    <w:rsid w:val="00715186"/>
    <w:rsid w:val="00715B67"/>
    <w:rsid w:val="007170E9"/>
    <w:rsid w:val="00721CEB"/>
    <w:rsid w:val="00725082"/>
    <w:rsid w:val="00727000"/>
    <w:rsid w:val="007312DD"/>
    <w:rsid w:val="00731F56"/>
    <w:rsid w:val="00732108"/>
    <w:rsid w:val="00732A34"/>
    <w:rsid w:val="00733D40"/>
    <w:rsid w:val="00733E86"/>
    <w:rsid w:val="00734304"/>
    <w:rsid w:val="00734522"/>
    <w:rsid w:val="00734591"/>
    <w:rsid w:val="0073508E"/>
    <w:rsid w:val="00735DCC"/>
    <w:rsid w:val="00737148"/>
    <w:rsid w:val="00737FB6"/>
    <w:rsid w:val="00742C76"/>
    <w:rsid w:val="00743C3B"/>
    <w:rsid w:val="00743E4A"/>
    <w:rsid w:val="00744A0C"/>
    <w:rsid w:val="00744C87"/>
    <w:rsid w:val="0074759B"/>
    <w:rsid w:val="007501ED"/>
    <w:rsid w:val="00754DEE"/>
    <w:rsid w:val="00755635"/>
    <w:rsid w:val="00755861"/>
    <w:rsid w:val="007560A0"/>
    <w:rsid w:val="007565CE"/>
    <w:rsid w:val="00760665"/>
    <w:rsid w:val="00760E08"/>
    <w:rsid w:val="0076374B"/>
    <w:rsid w:val="0076410C"/>
    <w:rsid w:val="007659A3"/>
    <w:rsid w:val="00765C46"/>
    <w:rsid w:val="00765EF7"/>
    <w:rsid w:val="00766008"/>
    <w:rsid w:val="00767308"/>
    <w:rsid w:val="00767A0E"/>
    <w:rsid w:val="00767D0C"/>
    <w:rsid w:val="007701FC"/>
    <w:rsid w:val="0077030B"/>
    <w:rsid w:val="00771D79"/>
    <w:rsid w:val="007727A1"/>
    <w:rsid w:val="00772FE1"/>
    <w:rsid w:val="0077429D"/>
    <w:rsid w:val="00774677"/>
    <w:rsid w:val="007753C4"/>
    <w:rsid w:val="0077784C"/>
    <w:rsid w:val="00780A6F"/>
    <w:rsid w:val="007831C0"/>
    <w:rsid w:val="007831F3"/>
    <w:rsid w:val="00783932"/>
    <w:rsid w:val="00785003"/>
    <w:rsid w:val="00785400"/>
    <w:rsid w:val="0078641A"/>
    <w:rsid w:val="0078797B"/>
    <w:rsid w:val="007913AB"/>
    <w:rsid w:val="00791732"/>
    <w:rsid w:val="007922F7"/>
    <w:rsid w:val="00794A99"/>
    <w:rsid w:val="00794B5A"/>
    <w:rsid w:val="0079532E"/>
    <w:rsid w:val="007A00BB"/>
    <w:rsid w:val="007A0726"/>
    <w:rsid w:val="007A07C2"/>
    <w:rsid w:val="007A13EF"/>
    <w:rsid w:val="007A1D60"/>
    <w:rsid w:val="007A2168"/>
    <w:rsid w:val="007A56B6"/>
    <w:rsid w:val="007A7BDC"/>
    <w:rsid w:val="007B0F29"/>
    <w:rsid w:val="007B1385"/>
    <w:rsid w:val="007B1D1A"/>
    <w:rsid w:val="007B1F18"/>
    <w:rsid w:val="007B2405"/>
    <w:rsid w:val="007B3DC4"/>
    <w:rsid w:val="007B4663"/>
    <w:rsid w:val="007B5246"/>
    <w:rsid w:val="007B69BB"/>
    <w:rsid w:val="007B7B2D"/>
    <w:rsid w:val="007B7D50"/>
    <w:rsid w:val="007C1059"/>
    <w:rsid w:val="007C3A99"/>
    <w:rsid w:val="007C642D"/>
    <w:rsid w:val="007C745A"/>
    <w:rsid w:val="007D083F"/>
    <w:rsid w:val="007D1990"/>
    <w:rsid w:val="007E1265"/>
    <w:rsid w:val="007E403C"/>
    <w:rsid w:val="007E42DC"/>
    <w:rsid w:val="007E4DE5"/>
    <w:rsid w:val="007E53DE"/>
    <w:rsid w:val="007E7D08"/>
    <w:rsid w:val="007F2428"/>
    <w:rsid w:val="007F3610"/>
    <w:rsid w:val="007F471C"/>
    <w:rsid w:val="007F58AD"/>
    <w:rsid w:val="008001AA"/>
    <w:rsid w:val="00803079"/>
    <w:rsid w:val="00805403"/>
    <w:rsid w:val="00805B78"/>
    <w:rsid w:val="00805D45"/>
    <w:rsid w:val="00807C2A"/>
    <w:rsid w:val="00811BB8"/>
    <w:rsid w:val="00811CB6"/>
    <w:rsid w:val="008124BE"/>
    <w:rsid w:val="00812EF3"/>
    <w:rsid w:val="0081490B"/>
    <w:rsid w:val="0081510B"/>
    <w:rsid w:val="00817149"/>
    <w:rsid w:val="008174BD"/>
    <w:rsid w:val="00821F6B"/>
    <w:rsid w:val="008227CA"/>
    <w:rsid w:val="00824621"/>
    <w:rsid w:val="00824EC1"/>
    <w:rsid w:val="00825157"/>
    <w:rsid w:val="008258A8"/>
    <w:rsid w:val="00826164"/>
    <w:rsid w:val="0082697D"/>
    <w:rsid w:val="00832FE0"/>
    <w:rsid w:val="008331EA"/>
    <w:rsid w:val="008332B9"/>
    <w:rsid w:val="00833504"/>
    <w:rsid w:val="00833EAD"/>
    <w:rsid w:val="00834CB7"/>
    <w:rsid w:val="00834CD2"/>
    <w:rsid w:val="0083578A"/>
    <w:rsid w:val="008359E0"/>
    <w:rsid w:val="00835D33"/>
    <w:rsid w:val="00840159"/>
    <w:rsid w:val="008407AA"/>
    <w:rsid w:val="00841D16"/>
    <w:rsid w:val="008421AD"/>
    <w:rsid w:val="008439BA"/>
    <w:rsid w:val="00843C84"/>
    <w:rsid w:val="008441FF"/>
    <w:rsid w:val="008449D8"/>
    <w:rsid w:val="00844F5B"/>
    <w:rsid w:val="0084581F"/>
    <w:rsid w:val="00845FEA"/>
    <w:rsid w:val="0084701F"/>
    <w:rsid w:val="0084705A"/>
    <w:rsid w:val="008503C6"/>
    <w:rsid w:val="00850F23"/>
    <w:rsid w:val="00854015"/>
    <w:rsid w:val="0085436D"/>
    <w:rsid w:val="0086011C"/>
    <w:rsid w:val="008615AC"/>
    <w:rsid w:val="00862490"/>
    <w:rsid w:val="00862FD3"/>
    <w:rsid w:val="00863AF3"/>
    <w:rsid w:val="008648E3"/>
    <w:rsid w:val="00866154"/>
    <w:rsid w:val="008713DA"/>
    <w:rsid w:val="0087157F"/>
    <w:rsid w:val="0087303B"/>
    <w:rsid w:val="008765A2"/>
    <w:rsid w:val="00880E7A"/>
    <w:rsid w:val="00882C23"/>
    <w:rsid w:val="00883485"/>
    <w:rsid w:val="00883DF5"/>
    <w:rsid w:val="0088423F"/>
    <w:rsid w:val="00884B1A"/>
    <w:rsid w:val="00887E80"/>
    <w:rsid w:val="00891130"/>
    <w:rsid w:val="00891196"/>
    <w:rsid w:val="008919AA"/>
    <w:rsid w:val="00894FF2"/>
    <w:rsid w:val="00895E47"/>
    <w:rsid w:val="008962E5"/>
    <w:rsid w:val="008977CD"/>
    <w:rsid w:val="00897DB8"/>
    <w:rsid w:val="008A1297"/>
    <w:rsid w:val="008A2566"/>
    <w:rsid w:val="008A27FA"/>
    <w:rsid w:val="008A2EB0"/>
    <w:rsid w:val="008A3C36"/>
    <w:rsid w:val="008A5DCD"/>
    <w:rsid w:val="008A5FAB"/>
    <w:rsid w:val="008A7C7E"/>
    <w:rsid w:val="008B0171"/>
    <w:rsid w:val="008B0F55"/>
    <w:rsid w:val="008B2C7D"/>
    <w:rsid w:val="008B5A4B"/>
    <w:rsid w:val="008B6DEC"/>
    <w:rsid w:val="008C0B7B"/>
    <w:rsid w:val="008C1FED"/>
    <w:rsid w:val="008C248A"/>
    <w:rsid w:val="008C2781"/>
    <w:rsid w:val="008C2880"/>
    <w:rsid w:val="008C5135"/>
    <w:rsid w:val="008C6565"/>
    <w:rsid w:val="008C6C5D"/>
    <w:rsid w:val="008C6C82"/>
    <w:rsid w:val="008C7F61"/>
    <w:rsid w:val="008D320E"/>
    <w:rsid w:val="008D3E91"/>
    <w:rsid w:val="008D5DB9"/>
    <w:rsid w:val="008D68D8"/>
    <w:rsid w:val="008D74DC"/>
    <w:rsid w:val="008D7B46"/>
    <w:rsid w:val="008E13ED"/>
    <w:rsid w:val="008E20A2"/>
    <w:rsid w:val="008E2374"/>
    <w:rsid w:val="008E44D6"/>
    <w:rsid w:val="008E4C7E"/>
    <w:rsid w:val="008E65CF"/>
    <w:rsid w:val="008E6857"/>
    <w:rsid w:val="008E6E4A"/>
    <w:rsid w:val="008E6EC3"/>
    <w:rsid w:val="008F179D"/>
    <w:rsid w:val="008F42AE"/>
    <w:rsid w:val="008F646B"/>
    <w:rsid w:val="008F724A"/>
    <w:rsid w:val="008F7EB9"/>
    <w:rsid w:val="0090318F"/>
    <w:rsid w:val="00904F07"/>
    <w:rsid w:val="00906232"/>
    <w:rsid w:val="00906A2C"/>
    <w:rsid w:val="00911067"/>
    <w:rsid w:val="009116C8"/>
    <w:rsid w:val="009120BA"/>
    <w:rsid w:val="0091286C"/>
    <w:rsid w:val="0091419F"/>
    <w:rsid w:val="0091492A"/>
    <w:rsid w:val="009156DC"/>
    <w:rsid w:val="00921C63"/>
    <w:rsid w:val="00921E37"/>
    <w:rsid w:val="00922351"/>
    <w:rsid w:val="0092374C"/>
    <w:rsid w:val="00923C25"/>
    <w:rsid w:val="0092431C"/>
    <w:rsid w:val="00926EC1"/>
    <w:rsid w:val="00930390"/>
    <w:rsid w:val="00932F3F"/>
    <w:rsid w:val="00933DFA"/>
    <w:rsid w:val="00936459"/>
    <w:rsid w:val="0093779E"/>
    <w:rsid w:val="0094067D"/>
    <w:rsid w:val="00940AC0"/>
    <w:rsid w:val="00941291"/>
    <w:rsid w:val="00942ADB"/>
    <w:rsid w:val="009449D6"/>
    <w:rsid w:val="00946104"/>
    <w:rsid w:val="009463ED"/>
    <w:rsid w:val="00946A8B"/>
    <w:rsid w:val="00946D0F"/>
    <w:rsid w:val="00946E29"/>
    <w:rsid w:val="00950A94"/>
    <w:rsid w:val="0095199B"/>
    <w:rsid w:val="00952345"/>
    <w:rsid w:val="00954729"/>
    <w:rsid w:val="0095664C"/>
    <w:rsid w:val="00956D80"/>
    <w:rsid w:val="00961F38"/>
    <w:rsid w:val="009626D1"/>
    <w:rsid w:val="00962883"/>
    <w:rsid w:val="00964741"/>
    <w:rsid w:val="009652C5"/>
    <w:rsid w:val="0097053C"/>
    <w:rsid w:val="009708A1"/>
    <w:rsid w:val="00974508"/>
    <w:rsid w:val="00974AD1"/>
    <w:rsid w:val="00974B62"/>
    <w:rsid w:val="00976BD7"/>
    <w:rsid w:val="0098057A"/>
    <w:rsid w:val="009814B8"/>
    <w:rsid w:val="00981685"/>
    <w:rsid w:val="00981D3F"/>
    <w:rsid w:val="009824AB"/>
    <w:rsid w:val="009826D8"/>
    <w:rsid w:val="00982E17"/>
    <w:rsid w:val="00983DA0"/>
    <w:rsid w:val="00983F99"/>
    <w:rsid w:val="00984375"/>
    <w:rsid w:val="00984B5D"/>
    <w:rsid w:val="00984BBC"/>
    <w:rsid w:val="009854E5"/>
    <w:rsid w:val="00985D04"/>
    <w:rsid w:val="0098609C"/>
    <w:rsid w:val="0098717D"/>
    <w:rsid w:val="00990A3C"/>
    <w:rsid w:val="009927D9"/>
    <w:rsid w:val="00993585"/>
    <w:rsid w:val="00993A78"/>
    <w:rsid w:val="009955E0"/>
    <w:rsid w:val="009A2938"/>
    <w:rsid w:val="009A2D58"/>
    <w:rsid w:val="009A3A86"/>
    <w:rsid w:val="009A4CA4"/>
    <w:rsid w:val="009A539B"/>
    <w:rsid w:val="009A5B86"/>
    <w:rsid w:val="009A7D0A"/>
    <w:rsid w:val="009B08B7"/>
    <w:rsid w:val="009B2624"/>
    <w:rsid w:val="009B2A84"/>
    <w:rsid w:val="009B39E6"/>
    <w:rsid w:val="009B49CD"/>
    <w:rsid w:val="009B4D7B"/>
    <w:rsid w:val="009B4FD4"/>
    <w:rsid w:val="009B547E"/>
    <w:rsid w:val="009B69C6"/>
    <w:rsid w:val="009B75AF"/>
    <w:rsid w:val="009B77D4"/>
    <w:rsid w:val="009C0BCB"/>
    <w:rsid w:val="009C0CD4"/>
    <w:rsid w:val="009C171F"/>
    <w:rsid w:val="009C1AD4"/>
    <w:rsid w:val="009C3190"/>
    <w:rsid w:val="009C3F21"/>
    <w:rsid w:val="009C6889"/>
    <w:rsid w:val="009C7FEE"/>
    <w:rsid w:val="009D018C"/>
    <w:rsid w:val="009D01EB"/>
    <w:rsid w:val="009D022F"/>
    <w:rsid w:val="009D10D9"/>
    <w:rsid w:val="009D11DE"/>
    <w:rsid w:val="009D17E9"/>
    <w:rsid w:val="009D27FA"/>
    <w:rsid w:val="009D3441"/>
    <w:rsid w:val="009D5F0B"/>
    <w:rsid w:val="009E0832"/>
    <w:rsid w:val="009E2128"/>
    <w:rsid w:val="009E3B8B"/>
    <w:rsid w:val="009E4EDA"/>
    <w:rsid w:val="009E7B22"/>
    <w:rsid w:val="009F0A3E"/>
    <w:rsid w:val="009F2274"/>
    <w:rsid w:val="009F2F70"/>
    <w:rsid w:val="009F47BC"/>
    <w:rsid w:val="009F4FB1"/>
    <w:rsid w:val="009F602D"/>
    <w:rsid w:val="009F616C"/>
    <w:rsid w:val="00A022C5"/>
    <w:rsid w:val="00A0419A"/>
    <w:rsid w:val="00A05108"/>
    <w:rsid w:val="00A07B99"/>
    <w:rsid w:val="00A116D3"/>
    <w:rsid w:val="00A1220E"/>
    <w:rsid w:val="00A13932"/>
    <w:rsid w:val="00A14CF6"/>
    <w:rsid w:val="00A166E6"/>
    <w:rsid w:val="00A177F7"/>
    <w:rsid w:val="00A2043C"/>
    <w:rsid w:val="00A2047B"/>
    <w:rsid w:val="00A20A96"/>
    <w:rsid w:val="00A217C9"/>
    <w:rsid w:val="00A2194A"/>
    <w:rsid w:val="00A23F64"/>
    <w:rsid w:val="00A24272"/>
    <w:rsid w:val="00A24458"/>
    <w:rsid w:val="00A2464B"/>
    <w:rsid w:val="00A249D4"/>
    <w:rsid w:val="00A24B45"/>
    <w:rsid w:val="00A2613A"/>
    <w:rsid w:val="00A27055"/>
    <w:rsid w:val="00A27727"/>
    <w:rsid w:val="00A321AE"/>
    <w:rsid w:val="00A32CA6"/>
    <w:rsid w:val="00A33C8E"/>
    <w:rsid w:val="00A35A53"/>
    <w:rsid w:val="00A35B45"/>
    <w:rsid w:val="00A36436"/>
    <w:rsid w:val="00A40284"/>
    <w:rsid w:val="00A41939"/>
    <w:rsid w:val="00A42B7A"/>
    <w:rsid w:val="00A44029"/>
    <w:rsid w:val="00A5118C"/>
    <w:rsid w:val="00A53684"/>
    <w:rsid w:val="00A53C7C"/>
    <w:rsid w:val="00A53D5C"/>
    <w:rsid w:val="00A541FB"/>
    <w:rsid w:val="00A54250"/>
    <w:rsid w:val="00A544DE"/>
    <w:rsid w:val="00A551CA"/>
    <w:rsid w:val="00A575FF"/>
    <w:rsid w:val="00A605D4"/>
    <w:rsid w:val="00A615D7"/>
    <w:rsid w:val="00A61A1E"/>
    <w:rsid w:val="00A62C0E"/>
    <w:rsid w:val="00A62C70"/>
    <w:rsid w:val="00A62ED3"/>
    <w:rsid w:val="00A64853"/>
    <w:rsid w:val="00A649FC"/>
    <w:rsid w:val="00A65294"/>
    <w:rsid w:val="00A67489"/>
    <w:rsid w:val="00A702B1"/>
    <w:rsid w:val="00A70623"/>
    <w:rsid w:val="00A70767"/>
    <w:rsid w:val="00A72B9B"/>
    <w:rsid w:val="00A73B66"/>
    <w:rsid w:val="00A76FE4"/>
    <w:rsid w:val="00A83652"/>
    <w:rsid w:val="00A85661"/>
    <w:rsid w:val="00A8790E"/>
    <w:rsid w:val="00A9072D"/>
    <w:rsid w:val="00A9474C"/>
    <w:rsid w:val="00A9671D"/>
    <w:rsid w:val="00AA02CA"/>
    <w:rsid w:val="00AA1E8D"/>
    <w:rsid w:val="00AA227D"/>
    <w:rsid w:val="00AA353A"/>
    <w:rsid w:val="00AA36B9"/>
    <w:rsid w:val="00AA4891"/>
    <w:rsid w:val="00AA4C05"/>
    <w:rsid w:val="00AA57A9"/>
    <w:rsid w:val="00AA5B42"/>
    <w:rsid w:val="00AA6FA3"/>
    <w:rsid w:val="00AA71BF"/>
    <w:rsid w:val="00AB1243"/>
    <w:rsid w:val="00AB190D"/>
    <w:rsid w:val="00AB283A"/>
    <w:rsid w:val="00AB5161"/>
    <w:rsid w:val="00AC255A"/>
    <w:rsid w:val="00AC5E19"/>
    <w:rsid w:val="00AC6371"/>
    <w:rsid w:val="00AD0DA9"/>
    <w:rsid w:val="00AD5C7B"/>
    <w:rsid w:val="00AE10A5"/>
    <w:rsid w:val="00AE26B0"/>
    <w:rsid w:val="00AE4B02"/>
    <w:rsid w:val="00AF2243"/>
    <w:rsid w:val="00AF3F92"/>
    <w:rsid w:val="00AF435D"/>
    <w:rsid w:val="00AF4AF4"/>
    <w:rsid w:val="00AF5933"/>
    <w:rsid w:val="00AF6371"/>
    <w:rsid w:val="00AF6C68"/>
    <w:rsid w:val="00AF7FFC"/>
    <w:rsid w:val="00B00E94"/>
    <w:rsid w:val="00B03B6A"/>
    <w:rsid w:val="00B06715"/>
    <w:rsid w:val="00B07BC3"/>
    <w:rsid w:val="00B113E0"/>
    <w:rsid w:val="00B11696"/>
    <w:rsid w:val="00B11C08"/>
    <w:rsid w:val="00B122B2"/>
    <w:rsid w:val="00B146CC"/>
    <w:rsid w:val="00B15536"/>
    <w:rsid w:val="00B15AB0"/>
    <w:rsid w:val="00B17AD9"/>
    <w:rsid w:val="00B21260"/>
    <w:rsid w:val="00B226B7"/>
    <w:rsid w:val="00B2476F"/>
    <w:rsid w:val="00B30265"/>
    <w:rsid w:val="00B317A5"/>
    <w:rsid w:val="00B32563"/>
    <w:rsid w:val="00B33A0D"/>
    <w:rsid w:val="00B341A9"/>
    <w:rsid w:val="00B350AB"/>
    <w:rsid w:val="00B352F4"/>
    <w:rsid w:val="00B3768B"/>
    <w:rsid w:val="00B377A3"/>
    <w:rsid w:val="00B4351F"/>
    <w:rsid w:val="00B4352B"/>
    <w:rsid w:val="00B43C1A"/>
    <w:rsid w:val="00B4414F"/>
    <w:rsid w:val="00B45905"/>
    <w:rsid w:val="00B45B69"/>
    <w:rsid w:val="00B46095"/>
    <w:rsid w:val="00B533AE"/>
    <w:rsid w:val="00B56387"/>
    <w:rsid w:val="00B56AB6"/>
    <w:rsid w:val="00B61521"/>
    <w:rsid w:val="00B629E8"/>
    <w:rsid w:val="00B631CF"/>
    <w:rsid w:val="00B637B8"/>
    <w:rsid w:val="00B6406A"/>
    <w:rsid w:val="00B649C7"/>
    <w:rsid w:val="00B6502E"/>
    <w:rsid w:val="00B65ABE"/>
    <w:rsid w:val="00B71125"/>
    <w:rsid w:val="00B713E1"/>
    <w:rsid w:val="00B72500"/>
    <w:rsid w:val="00B731EC"/>
    <w:rsid w:val="00B74424"/>
    <w:rsid w:val="00B746F9"/>
    <w:rsid w:val="00B75893"/>
    <w:rsid w:val="00B75C15"/>
    <w:rsid w:val="00B76B5D"/>
    <w:rsid w:val="00B76F7F"/>
    <w:rsid w:val="00B779BA"/>
    <w:rsid w:val="00B77A02"/>
    <w:rsid w:val="00B802F3"/>
    <w:rsid w:val="00B820CA"/>
    <w:rsid w:val="00B821C6"/>
    <w:rsid w:val="00B82B55"/>
    <w:rsid w:val="00B85349"/>
    <w:rsid w:val="00B85A92"/>
    <w:rsid w:val="00B86694"/>
    <w:rsid w:val="00B90254"/>
    <w:rsid w:val="00B930F1"/>
    <w:rsid w:val="00B97AC0"/>
    <w:rsid w:val="00BA3AB8"/>
    <w:rsid w:val="00BA3D05"/>
    <w:rsid w:val="00BA5DF1"/>
    <w:rsid w:val="00BA6022"/>
    <w:rsid w:val="00BB3119"/>
    <w:rsid w:val="00BB3274"/>
    <w:rsid w:val="00BB3D70"/>
    <w:rsid w:val="00BB656D"/>
    <w:rsid w:val="00BB76E2"/>
    <w:rsid w:val="00BC01C7"/>
    <w:rsid w:val="00BC0977"/>
    <w:rsid w:val="00BD1874"/>
    <w:rsid w:val="00BD1877"/>
    <w:rsid w:val="00BD1A8D"/>
    <w:rsid w:val="00BD23AC"/>
    <w:rsid w:val="00BD292D"/>
    <w:rsid w:val="00BD2AD8"/>
    <w:rsid w:val="00BD482F"/>
    <w:rsid w:val="00BD6AA3"/>
    <w:rsid w:val="00BD6BB6"/>
    <w:rsid w:val="00BE262D"/>
    <w:rsid w:val="00BE2970"/>
    <w:rsid w:val="00BE2E40"/>
    <w:rsid w:val="00BE3BBB"/>
    <w:rsid w:val="00BE403F"/>
    <w:rsid w:val="00BE4BE5"/>
    <w:rsid w:val="00BE4DC4"/>
    <w:rsid w:val="00BE6EC1"/>
    <w:rsid w:val="00BF05F4"/>
    <w:rsid w:val="00BF462B"/>
    <w:rsid w:val="00BF4C02"/>
    <w:rsid w:val="00BF5FDC"/>
    <w:rsid w:val="00C006B2"/>
    <w:rsid w:val="00C00DEF"/>
    <w:rsid w:val="00C01EB4"/>
    <w:rsid w:val="00C02521"/>
    <w:rsid w:val="00C03AE2"/>
    <w:rsid w:val="00C052EB"/>
    <w:rsid w:val="00C06552"/>
    <w:rsid w:val="00C06FDF"/>
    <w:rsid w:val="00C07636"/>
    <w:rsid w:val="00C07F4E"/>
    <w:rsid w:val="00C112A3"/>
    <w:rsid w:val="00C115D8"/>
    <w:rsid w:val="00C14912"/>
    <w:rsid w:val="00C15253"/>
    <w:rsid w:val="00C16235"/>
    <w:rsid w:val="00C16591"/>
    <w:rsid w:val="00C16EF8"/>
    <w:rsid w:val="00C17EDD"/>
    <w:rsid w:val="00C2097D"/>
    <w:rsid w:val="00C216E7"/>
    <w:rsid w:val="00C2202D"/>
    <w:rsid w:val="00C22666"/>
    <w:rsid w:val="00C24DEF"/>
    <w:rsid w:val="00C26EA0"/>
    <w:rsid w:val="00C30A3D"/>
    <w:rsid w:val="00C315E8"/>
    <w:rsid w:val="00C31A8F"/>
    <w:rsid w:val="00C31F0B"/>
    <w:rsid w:val="00C32E29"/>
    <w:rsid w:val="00C33A26"/>
    <w:rsid w:val="00C35E16"/>
    <w:rsid w:val="00C37072"/>
    <w:rsid w:val="00C41816"/>
    <w:rsid w:val="00C4214C"/>
    <w:rsid w:val="00C42411"/>
    <w:rsid w:val="00C42A28"/>
    <w:rsid w:val="00C4488A"/>
    <w:rsid w:val="00C45392"/>
    <w:rsid w:val="00C45983"/>
    <w:rsid w:val="00C459FF"/>
    <w:rsid w:val="00C4611D"/>
    <w:rsid w:val="00C4679D"/>
    <w:rsid w:val="00C47893"/>
    <w:rsid w:val="00C5376C"/>
    <w:rsid w:val="00C549E3"/>
    <w:rsid w:val="00C574B2"/>
    <w:rsid w:val="00C576D8"/>
    <w:rsid w:val="00C57BF4"/>
    <w:rsid w:val="00C57FEB"/>
    <w:rsid w:val="00C60CE8"/>
    <w:rsid w:val="00C610EB"/>
    <w:rsid w:val="00C625B1"/>
    <w:rsid w:val="00C62C32"/>
    <w:rsid w:val="00C63610"/>
    <w:rsid w:val="00C64626"/>
    <w:rsid w:val="00C64DD4"/>
    <w:rsid w:val="00C651C7"/>
    <w:rsid w:val="00C66261"/>
    <w:rsid w:val="00C7061B"/>
    <w:rsid w:val="00C70AE8"/>
    <w:rsid w:val="00C71577"/>
    <w:rsid w:val="00C7263C"/>
    <w:rsid w:val="00C7377D"/>
    <w:rsid w:val="00C7398A"/>
    <w:rsid w:val="00C740DD"/>
    <w:rsid w:val="00C75A62"/>
    <w:rsid w:val="00C778E1"/>
    <w:rsid w:val="00C80967"/>
    <w:rsid w:val="00C82A1E"/>
    <w:rsid w:val="00C82A82"/>
    <w:rsid w:val="00C84A49"/>
    <w:rsid w:val="00C85935"/>
    <w:rsid w:val="00C86341"/>
    <w:rsid w:val="00C87154"/>
    <w:rsid w:val="00C87513"/>
    <w:rsid w:val="00C87E82"/>
    <w:rsid w:val="00C90FCA"/>
    <w:rsid w:val="00C9172F"/>
    <w:rsid w:val="00C9189E"/>
    <w:rsid w:val="00C928EF"/>
    <w:rsid w:val="00C97586"/>
    <w:rsid w:val="00C97707"/>
    <w:rsid w:val="00CA19CF"/>
    <w:rsid w:val="00CA38A7"/>
    <w:rsid w:val="00CA6404"/>
    <w:rsid w:val="00CA72DA"/>
    <w:rsid w:val="00CB021D"/>
    <w:rsid w:val="00CB042E"/>
    <w:rsid w:val="00CB2087"/>
    <w:rsid w:val="00CB29F8"/>
    <w:rsid w:val="00CB3614"/>
    <w:rsid w:val="00CB374F"/>
    <w:rsid w:val="00CB43BE"/>
    <w:rsid w:val="00CB5D0F"/>
    <w:rsid w:val="00CB749E"/>
    <w:rsid w:val="00CC0A79"/>
    <w:rsid w:val="00CC1481"/>
    <w:rsid w:val="00CC3289"/>
    <w:rsid w:val="00CC4E24"/>
    <w:rsid w:val="00CC5BDE"/>
    <w:rsid w:val="00CD08C6"/>
    <w:rsid w:val="00CD0D4C"/>
    <w:rsid w:val="00CD249E"/>
    <w:rsid w:val="00CD4DC4"/>
    <w:rsid w:val="00CD4F89"/>
    <w:rsid w:val="00CD50C9"/>
    <w:rsid w:val="00CD6A89"/>
    <w:rsid w:val="00CD73F3"/>
    <w:rsid w:val="00CD7712"/>
    <w:rsid w:val="00CD79A1"/>
    <w:rsid w:val="00CE0A96"/>
    <w:rsid w:val="00CE0B50"/>
    <w:rsid w:val="00CE15FE"/>
    <w:rsid w:val="00CE21BB"/>
    <w:rsid w:val="00CE3B74"/>
    <w:rsid w:val="00CE64AD"/>
    <w:rsid w:val="00CE6BF3"/>
    <w:rsid w:val="00CE7E48"/>
    <w:rsid w:val="00CF2D74"/>
    <w:rsid w:val="00CF2EF3"/>
    <w:rsid w:val="00CF7341"/>
    <w:rsid w:val="00CF7542"/>
    <w:rsid w:val="00D02CF0"/>
    <w:rsid w:val="00D0385E"/>
    <w:rsid w:val="00D06F07"/>
    <w:rsid w:val="00D07AD7"/>
    <w:rsid w:val="00D11208"/>
    <w:rsid w:val="00D153E0"/>
    <w:rsid w:val="00D17ECB"/>
    <w:rsid w:val="00D212AC"/>
    <w:rsid w:val="00D21661"/>
    <w:rsid w:val="00D216EB"/>
    <w:rsid w:val="00D23E73"/>
    <w:rsid w:val="00D23FD0"/>
    <w:rsid w:val="00D245EA"/>
    <w:rsid w:val="00D25F1C"/>
    <w:rsid w:val="00D27E11"/>
    <w:rsid w:val="00D30344"/>
    <w:rsid w:val="00D30C1F"/>
    <w:rsid w:val="00D3161C"/>
    <w:rsid w:val="00D3403A"/>
    <w:rsid w:val="00D3469B"/>
    <w:rsid w:val="00D352B7"/>
    <w:rsid w:val="00D37E46"/>
    <w:rsid w:val="00D40014"/>
    <w:rsid w:val="00D41CE3"/>
    <w:rsid w:val="00D41D7E"/>
    <w:rsid w:val="00D43330"/>
    <w:rsid w:val="00D43F56"/>
    <w:rsid w:val="00D517C9"/>
    <w:rsid w:val="00D51F53"/>
    <w:rsid w:val="00D52A19"/>
    <w:rsid w:val="00D52B6C"/>
    <w:rsid w:val="00D55611"/>
    <w:rsid w:val="00D56543"/>
    <w:rsid w:val="00D56A60"/>
    <w:rsid w:val="00D609B9"/>
    <w:rsid w:val="00D60ABC"/>
    <w:rsid w:val="00D60B65"/>
    <w:rsid w:val="00D6150C"/>
    <w:rsid w:val="00D625BF"/>
    <w:rsid w:val="00D6262E"/>
    <w:rsid w:val="00D65FC5"/>
    <w:rsid w:val="00D676C5"/>
    <w:rsid w:val="00D71D23"/>
    <w:rsid w:val="00D732D5"/>
    <w:rsid w:val="00D73CA0"/>
    <w:rsid w:val="00D73D1D"/>
    <w:rsid w:val="00D76495"/>
    <w:rsid w:val="00D76B2C"/>
    <w:rsid w:val="00D81E8E"/>
    <w:rsid w:val="00D82C90"/>
    <w:rsid w:val="00D8371F"/>
    <w:rsid w:val="00D84305"/>
    <w:rsid w:val="00D84C64"/>
    <w:rsid w:val="00D8623A"/>
    <w:rsid w:val="00D86ECD"/>
    <w:rsid w:val="00D876B9"/>
    <w:rsid w:val="00D93CDB"/>
    <w:rsid w:val="00D93D87"/>
    <w:rsid w:val="00D94299"/>
    <w:rsid w:val="00D970A2"/>
    <w:rsid w:val="00DA09FA"/>
    <w:rsid w:val="00DA130A"/>
    <w:rsid w:val="00DA17A8"/>
    <w:rsid w:val="00DA18A6"/>
    <w:rsid w:val="00DA1BAE"/>
    <w:rsid w:val="00DA3E37"/>
    <w:rsid w:val="00DA6BCB"/>
    <w:rsid w:val="00DB0374"/>
    <w:rsid w:val="00DB07BD"/>
    <w:rsid w:val="00DB1379"/>
    <w:rsid w:val="00DB27DE"/>
    <w:rsid w:val="00DB2A98"/>
    <w:rsid w:val="00DB393D"/>
    <w:rsid w:val="00DB3A59"/>
    <w:rsid w:val="00DB49ED"/>
    <w:rsid w:val="00DB4AB0"/>
    <w:rsid w:val="00DB4B51"/>
    <w:rsid w:val="00DB573E"/>
    <w:rsid w:val="00DB66C9"/>
    <w:rsid w:val="00DB6D99"/>
    <w:rsid w:val="00DC258F"/>
    <w:rsid w:val="00DC38DB"/>
    <w:rsid w:val="00DC3B42"/>
    <w:rsid w:val="00DC4372"/>
    <w:rsid w:val="00DC51F1"/>
    <w:rsid w:val="00DC5AA2"/>
    <w:rsid w:val="00DC5D65"/>
    <w:rsid w:val="00DC7861"/>
    <w:rsid w:val="00DD1146"/>
    <w:rsid w:val="00DD2013"/>
    <w:rsid w:val="00DD27BA"/>
    <w:rsid w:val="00DD4923"/>
    <w:rsid w:val="00DD4AED"/>
    <w:rsid w:val="00DD549C"/>
    <w:rsid w:val="00DD7628"/>
    <w:rsid w:val="00DE439E"/>
    <w:rsid w:val="00DE4473"/>
    <w:rsid w:val="00DE66D4"/>
    <w:rsid w:val="00DF0D3D"/>
    <w:rsid w:val="00DF2101"/>
    <w:rsid w:val="00DF244D"/>
    <w:rsid w:val="00DF2994"/>
    <w:rsid w:val="00DF3026"/>
    <w:rsid w:val="00DF3A03"/>
    <w:rsid w:val="00DF4687"/>
    <w:rsid w:val="00DF4FD2"/>
    <w:rsid w:val="00DF5E8C"/>
    <w:rsid w:val="00DF6292"/>
    <w:rsid w:val="00DF6461"/>
    <w:rsid w:val="00DF7BD8"/>
    <w:rsid w:val="00E012E0"/>
    <w:rsid w:val="00E02410"/>
    <w:rsid w:val="00E0394D"/>
    <w:rsid w:val="00E03FEB"/>
    <w:rsid w:val="00E06C6E"/>
    <w:rsid w:val="00E07AEC"/>
    <w:rsid w:val="00E106A9"/>
    <w:rsid w:val="00E11ABB"/>
    <w:rsid w:val="00E11EF4"/>
    <w:rsid w:val="00E12695"/>
    <w:rsid w:val="00E12B2E"/>
    <w:rsid w:val="00E12D1C"/>
    <w:rsid w:val="00E13C9E"/>
    <w:rsid w:val="00E13E1A"/>
    <w:rsid w:val="00E13F45"/>
    <w:rsid w:val="00E14A49"/>
    <w:rsid w:val="00E151BD"/>
    <w:rsid w:val="00E17848"/>
    <w:rsid w:val="00E17F40"/>
    <w:rsid w:val="00E221A7"/>
    <w:rsid w:val="00E232F7"/>
    <w:rsid w:val="00E23AF3"/>
    <w:rsid w:val="00E23E33"/>
    <w:rsid w:val="00E310C9"/>
    <w:rsid w:val="00E320AB"/>
    <w:rsid w:val="00E32E44"/>
    <w:rsid w:val="00E33ABF"/>
    <w:rsid w:val="00E34387"/>
    <w:rsid w:val="00E3471C"/>
    <w:rsid w:val="00E35051"/>
    <w:rsid w:val="00E425A1"/>
    <w:rsid w:val="00E42746"/>
    <w:rsid w:val="00E43272"/>
    <w:rsid w:val="00E432D1"/>
    <w:rsid w:val="00E4499F"/>
    <w:rsid w:val="00E449A9"/>
    <w:rsid w:val="00E44BF2"/>
    <w:rsid w:val="00E45F80"/>
    <w:rsid w:val="00E46BF5"/>
    <w:rsid w:val="00E509DA"/>
    <w:rsid w:val="00E51431"/>
    <w:rsid w:val="00E516CD"/>
    <w:rsid w:val="00E529EE"/>
    <w:rsid w:val="00E54F84"/>
    <w:rsid w:val="00E55198"/>
    <w:rsid w:val="00E55ABE"/>
    <w:rsid w:val="00E603A8"/>
    <w:rsid w:val="00E63933"/>
    <w:rsid w:val="00E675AA"/>
    <w:rsid w:val="00E676AC"/>
    <w:rsid w:val="00E67748"/>
    <w:rsid w:val="00E67998"/>
    <w:rsid w:val="00E67B13"/>
    <w:rsid w:val="00E70CE1"/>
    <w:rsid w:val="00E710E3"/>
    <w:rsid w:val="00E71D3B"/>
    <w:rsid w:val="00E73F28"/>
    <w:rsid w:val="00E74BB5"/>
    <w:rsid w:val="00E75927"/>
    <w:rsid w:val="00E75AE5"/>
    <w:rsid w:val="00E766A6"/>
    <w:rsid w:val="00E76DCA"/>
    <w:rsid w:val="00E774F9"/>
    <w:rsid w:val="00E776D2"/>
    <w:rsid w:val="00E77B1F"/>
    <w:rsid w:val="00E8006F"/>
    <w:rsid w:val="00E804DA"/>
    <w:rsid w:val="00E8086D"/>
    <w:rsid w:val="00E81589"/>
    <w:rsid w:val="00E815C5"/>
    <w:rsid w:val="00E81F31"/>
    <w:rsid w:val="00E83514"/>
    <w:rsid w:val="00E83D69"/>
    <w:rsid w:val="00E86BF9"/>
    <w:rsid w:val="00E925DA"/>
    <w:rsid w:val="00E93908"/>
    <w:rsid w:val="00E95105"/>
    <w:rsid w:val="00E95F21"/>
    <w:rsid w:val="00E96ABE"/>
    <w:rsid w:val="00EA05A6"/>
    <w:rsid w:val="00EA0D37"/>
    <w:rsid w:val="00EA4148"/>
    <w:rsid w:val="00EA51C0"/>
    <w:rsid w:val="00EB1055"/>
    <w:rsid w:val="00EB1CEA"/>
    <w:rsid w:val="00EB20D0"/>
    <w:rsid w:val="00EB2B22"/>
    <w:rsid w:val="00EB53C8"/>
    <w:rsid w:val="00EB644B"/>
    <w:rsid w:val="00EB6468"/>
    <w:rsid w:val="00EB6DE3"/>
    <w:rsid w:val="00EC0A66"/>
    <w:rsid w:val="00EC1E23"/>
    <w:rsid w:val="00EC241C"/>
    <w:rsid w:val="00EC34E3"/>
    <w:rsid w:val="00EC3C19"/>
    <w:rsid w:val="00EC6250"/>
    <w:rsid w:val="00EC6BDB"/>
    <w:rsid w:val="00EC7BA3"/>
    <w:rsid w:val="00ED2D34"/>
    <w:rsid w:val="00ED2E07"/>
    <w:rsid w:val="00ED616A"/>
    <w:rsid w:val="00ED703B"/>
    <w:rsid w:val="00ED74E7"/>
    <w:rsid w:val="00EE07BE"/>
    <w:rsid w:val="00EE178E"/>
    <w:rsid w:val="00EE2167"/>
    <w:rsid w:val="00EE2B72"/>
    <w:rsid w:val="00EE3F94"/>
    <w:rsid w:val="00EE51F3"/>
    <w:rsid w:val="00EE5C48"/>
    <w:rsid w:val="00EE659C"/>
    <w:rsid w:val="00EE6967"/>
    <w:rsid w:val="00EE7A73"/>
    <w:rsid w:val="00EF10D0"/>
    <w:rsid w:val="00EF12C4"/>
    <w:rsid w:val="00EF2E73"/>
    <w:rsid w:val="00EF3030"/>
    <w:rsid w:val="00EF34C5"/>
    <w:rsid w:val="00EF3CC3"/>
    <w:rsid w:val="00EF4EB3"/>
    <w:rsid w:val="00EF7128"/>
    <w:rsid w:val="00EF7F30"/>
    <w:rsid w:val="00F01874"/>
    <w:rsid w:val="00F0216F"/>
    <w:rsid w:val="00F05DA3"/>
    <w:rsid w:val="00F070A8"/>
    <w:rsid w:val="00F10D6E"/>
    <w:rsid w:val="00F13B4D"/>
    <w:rsid w:val="00F13C08"/>
    <w:rsid w:val="00F1518F"/>
    <w:rsid w:val="00F16320"/>
    <w:rsid w:val="00F1695F"/>
    <w:rsid w:val="00F17EDE"/>
    <w:rsid w:val="00F21682"/>
    <w:rsid w:val="00F22D02"/>
    <w:rsid w:val="00F236A0"/>
    <w:rsid w:val="00F24D4A"/>
    <w:rsid w:val="00F24FB8"/>
    <w:rsid w:val="00F251D2"/>
    <w:rsid w:val="00F26658"/>
    <w:rsid w:val="00F26E2B"/>
    <w:rsid w:val="00F3131E"/>
    <w:rsid w:val="00F3290B"/>
    <w:rsid w:val="00F34091"/>
    <w:rsid w:val="00F34E14"/>
    <w:rsid w:val="00F35054"/>
    <w:rsid w:val="00F352D6"/>
    <w:rsid w:val="00F35870"/>
    <w:rsid w:val="00F35E32"/>
    <w:rsid w:val="00F36BBC"/>
    <w:rsid w:val="00F3750A"/>
    <w:rsid w:val="00F37F80"/>
    <w:rsid w:val="00F400D7"/>
    <w:rsid w:val="00F41334"/>
    <w:rsid w:val="00F41CE0"/>
    <w:rsid w:val="00F43490"/>
    <w:rsid w:val="00F44DC9"/>
    <w:rsid w:val="00F45447"/>
    <w:rsid w:val="00F46548"/>
    <w:rsid w:val="00F475D9"/>
    <w:rsid w:val="00F5195D"/>
    <w:rsid w:val="00F51A7C"/>
    <w:rsid w:val="00F51B79"/>
    <w:rsid w:val="00F52967"/>
    <w:rsid w:val="00F53CA0"/>
    <w:rsid w:val="00F54067"/>
    <w:rsid w:val="00F54105"/>
    <w:rsid w:val="00F551A4"/>
    <w:rsid w:val="00F5626F"/>
    <w:rsid w:val="00F56FCC"/>
    <w:rsid w:val="00F60676"/>
    <w:rsid w:val="00F61462"/>
    <w:rsid w:val="00F61A6F"/>
    <w:rsid w:val="00F62703"/>
    <w:rsid w:val="00F64055"/>
    <w:rsid w:val="00F647D3"/>
    <w:rsid w:val="00F6488B"/>
    <w:rsid w:val="00F6575A"/>
    <w:rsid w:val="00F7016B"/>
    <w:rsid w:val="00F7116A"/>
    <w:rsid w:val="00F7194C"/>
    <w:rsid w:val="00F720CA"/>
    <w:rsid w:val="00F72B74"/>
    <w:rsid w:val="00F7353A"/>
    <w:rsid w:val="00F76B56"/>
    <w:rsid w:val="00F770D0"/>
    <w:rsid w:val="00F7769A"/>
    <w:rsid w:val="00F77AA6"/>
    <w:rsid w:val="00F77D02"/>
    <w:rsid w:val="00F806DB"/>
    <w:rsid w:val="00F81710"/>
    <w:rsid w:val="00F81E9E"/>
    <w:rsid w:val="00F82B90"/>
    <w:rsid w:val="00F83492"/>
    <w:rsid w:val="00F835ED"/>
    <w:rsid w:val="00F85170"/>
    <w:rsid w:val="00F861C4"/>
    <w:rsid w:val="00F91B55"/>
    <w:rsid w:val="00F92E8B"/>
    <w:rsid w:val="00F938C5"/>
    <w:rsid w:val="00F95AE9"/>
    <w:rsid w:val="00F965C0"/>
    <w:rsid w:val="00F96629"/>
    <w:rsid w:val="00FA089C"/>
    <w:rsid w:val="00FA29D7"/>
    <w:rsid w:val="00FA2EED"/>
    <w:rsid w:val="00FA2F98"/>
    <w:rsid w:val="00FA4462"/>
    <w:rsid w:val="00FA4719"/>
    <w:rsid w:val="00FA622E"/>
    <w:rsid w:val="00FA6CD3"/>
    <w:rsid w:val="00FA76DF"/>
    <w:rsid w:val="00FB013C"/>
    <w:rsid w:val="00FB1AAB"/>
    <w:rsid w:val="00FB2A96"/>
    <w:rsid w:val="00FB3F0E"/>
    <w:rsid w:val="00FB433B"/>
    <w:rsid w:val="00FB459F"/>
    <w:rsid w:val="00FB4623"/>
    <w:rsid w:val="00FB52C9"/>
    <w:rsid w:val="00FB6E3B"/>
    <w:rsid w:val="00FC12F3"/>
    <w:rsid w:val="00FC2A2B"/>
    <w:rsid w:val="00FC2F33"/>
    <w:rsid w:val="00FC361F"/>
    <w:rsid w:val="00FC50D7"/>
    <w:rsid w:val="00FC55E2"/>
    <w:rsid w:val="00FC68AE"/>
    <w:rsid w:val="00FC6D66"/>
    <w:rsid w:val="00FC6F3E"/>
    <w:rsid w:val="00FC7B67"/>
    <w:rsid w:val="00FD0B3B"/>
    <w:rsid w:val="00FD2E38"/>
    <w:rsid w:val="00FD2F45"/>
    <w:rsid w:val="00FD3170"/>
    <w:rsid w:val="00FD36AF"/>
    <w:rsid w:val="00FD4C77"/>
    <w:rsid w:val="00FD4D60"/>
    <w:rsid w:val="00FD5029"/>
    <w:rsid w:val="00FD5D1D"/>
    <w:rsid w:val="00FD6CD5"/>
    <w:rsid w:val="00FD70E6"/>
    <w:rsid w:val="00FD75E1"/>
    <w:rsid w:val="00FE08FD"/>
    <w:rsid w:val="00FE0A54"/>
    <w:rsid w:val="00FE36B0"/>
    <w:rsid w:val="00FE523E"/>
    <w:rsid w:val="00FF0347"/>
    <w:rsid w:val="00FF19EA"/>
    <w:rsid w:val="00FF3A6F"/>
    <w:rsid w:val="00FF55FB"/>
    <w:rsid w:val="00FF5A87"/>
    <w:rsid w:val="02D51B41"/>
    <w:rsid w:val="04FD45A6"/>
    <w:rsid w:val="06755064"/>
    <w:rsid w:val="0C6208F5"/>
    <w:rsid w:val="0F7A0D2D"/>
    <w:rsid w:val="13255ACD"/>
    <w:rsid w:val="1E670351"/>
    <w:rsid w:val="207C33CD"/>
    <w:rsid w:val="2267521A"/>
    <w:rsid w:val="2F0F42AF"/>
    <w:rsid w:val="2F435B0E"/>
    <w:rsid w:val="315A07EA"/>
    <w:rsid w:val="3C872539"/>
    <w:rsid w:val="3E5366CC"/>
    <w:rsid w:val="3EB3133C"/>
    <w:rsid w:val="4326593D"/>
    <w:rsid w:val="46E464B1"/>
    <w:rsid w:val="46F12809"/>
    <w:rsid w:val="50F87443"/>
    <w:rsid w:val="55C502BF"/>
    <w:rsid w:val="59780C8D"/>
    <w:rsid w:val="5FDE39ED"/>
    <w:rsid w:val="600F6C83"/>
    <w:rsid w:val="701E1368"/>
    <w:rsid w:val="737976B7"/>
    <w:rsid w:val="793A7A0A"/>
    <w:rsid w:val="7ABB71C2"/>
    <w:rsid w:val="7CC550C0"/>
    <w:rsid w:val="7E9D74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name="index 1"/>
    <w:lsdException w:qFormat="1" w:uiPriority="99" w:name="index 2"/>
    <w:lsdException w:qFormat="1" w:uiPriority="99" w:name="index 3"/>
    <w:lsdException w:qFormat="1" w:uiPriority="99" w:name="index 4"/>
    <w:lsdException w:qFormat="1" w:uiPriority="99" w:name="index 5"/>
    <w:lsdException w:qFormat="1" w:uiPriority="99" w:name="index 6"/>
    <w:lsdException w:qFormat="1" w:uiPriority="99" w:name="index 7"/>
    <w:lsdException w:qFormat="1" w:uiPriority="99" w:name="index 8"/>
    <w:lsdException w:qFormat="1" w:uiPriority="99" w:name="index 9"/>
    <w:lsdException w:qFormat="1" w:uiPriority="39" w:semiHidden="0" w:name="toc 1"/>
    <w:lsdException w:qFormat="1" w:uiPriority="39" w:semiHidden="0" w:name="toc 2"/>
    <w:lsdException w:qFormat="1" w:uiPriority="39" w:semiHidden="0" w:name="toc 3"/>
    <w:lsdException w:qFormat="1" w:uiPriority="39" w:name="toc 4"/>
    <w:lsdException w:qFormat="1" w:uiPriority="39" w:name="toc 5"/>
    <w:lsdException w:qFormat="1" w:uiPriority="39" w:name="toc 6"/>
    <w:lsdException w:qFormat="1" w:uiPriority="39" w:name="toc 7"/>
    <w:lsdException w:qFormat="1" w:uiPriority="39" w:name="toc 8"/>
    <w:lsdException w:qFormat="1" w:uiPriority="39" w:name="toc 9"/>
    <w:lsdException w:qFormat="1"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iPriority="99" w:name="index heading"/>
    <w:lsdException w:qFormat="1" w:uiPriority="35" w:name="caption"/>
    <w:lsdException w:qFormat="1" w:uiPriority="99" w:name="table of figures"/>
    <w:lsdException w:qFormat="1" w:uiPriority="99" w:name="envelope address"/>
    <w:lsdException w:qFormat="1" w:uiPriority="99" w:name="envelope return"/>
    <w:lsdException w:qFormat="1" w:uiPriority="99" w:name="footnote reference"/>
    <w:lsdException w:qFormat="1" w:uiPriority="99" w:name="annotation reference"/>
    <w:lsdException w:qFormat="1" w:uiPriority="99" w:name="line number"/>
    <w:lsdException w:qFormat="1" w:uiPriority="99" w:name="page number"/>
    <w:lsdException w:qFormat="1" w:uiPriority="99" w:name="endnote reference"/>
    <w:lsdException w:qFormat="1" w:uiPriority="99" w:name="endnote text"/>
    <w:lsdException w:qFormat="1" w:uiPriority="99" w:name="table of authorities"/>
    <w:lsdException w:qFormat="1" w:uiPriority="99" w:name="macro"/>
    <w:lsdException w:qFormat="1" w:uiPriority="99" w:name="toa heading"/>
    <w:lsdException w:qFormat="1" w:uiPriority="99" w:name="List"/>
    <w:lsdException w:qFormat="1" w:uiPriority="99" w:name="List Bullet"/>
    <w:lsdException w:qFormat="1" w:uiPriority="99" w:name="List Number"/>
    <w:lsdException w:qFormat="1" w:uiPriority="99" w:name="List 2"/>
    <w:lsdException w:qFormat="1" w:uiPriority="99" w:name="List 3"/>
    <w:lsdException w:qFormat="1" w:uiPriority="99" w:name="List 4"/>
    <w:lsdException w:qFormat="1" w:uiPriority="99" w:name="List 5"/>
    <w:lsdException w:qFormat="1" w:uiPriority="99" w:name="List Bullet 2"/>
    <w:lsdException w:qFormat="1" w:uiPriority="99" w:name="List Bullet 3"/>
    <w:lsdException w:qFormat="1" w:uiPriority="99" w:name="List Bullet 4"/>
    <w:lsdException w:qFormat="1" w:uiPriority="99" w:name="List Bullet 5"/>
    <w:lsdException w:qFormat="1" w:uiPriority="99" w:name="List Number 2"/>
    <w:lsdException w:qFormat="1" w:uiPriority="99" w:name="List Number 3"/>
    <w:lsdException w:qFormat="1" w:uiPriority="99" w:name="List Number 4"/>
    <w:lsdException w:qFormat="1" w:uiPriority="99" w:name="List Number 5"/>
    <w:lsdException w:qFormat="1" w:unhideWhenUsed="0" w:uiPriority="10" w:semiHidden="0" w:name="Title"/>
    <w:lsdException w:qFormat="1" w:uiPriority="99" w:name="Closing"/>
    <w:lsdException w:qFormat="1" w:uiPriority="99" w:name="Signature"/>
    <w:lsdException w:qFormat="1" w:uiPriority="1" w:name="Default Paragraph Font"/>
    <w:lsdException w:qFormat="1" w:uiPriority="99" w:name="Body Text"/>
    <w:lsdException w:qFormat="1" w:uiPriority="99" w:name="Body Text Indent"/>
    <w:lsdException w:qFormat="1" w:uiPriority="99" w:name="List Continue"/>
    <w:lsdException w:qFormat="1" w:uiPriority="99" w:name="List Continue 2"/>
    <w:lsdException w:qFormat="1" w:uiPriority="99" w:name="List Continue 3"/>
    <w:lsdException w:qFormat="1" w:uiPriority="99" w:name="List Continue 4"/>
    <w:lsdException w:qFormat="1" w:uiPriority="99" w:name="List Continue 5"/>
    <w:lsdException w:qFormat="1" w:uiPriority="99" w:name="Message Header"/>
    <w:lsdException w:qFormat="1" w:unhideWhenUsed="0" w:uiPriority="11" w:semiHidden="0" w:name="Subtitle"/>
    <w:lsdException w:qFormat="1" w:uiPriority="99" w:name="Salutation"/>
    <w:lsdException w:qFormat="1" w:uiPriority="99" w:name="Date"/>
    <w:lsdException w:qFormat="1" w:uiPriority="99" w:name="Body Text First Indent"/>
    <w:lsdException w:qFormat="1" w:uiPriority="99" w:name="Body Text First Indent 2"/>
    <w:lsdException w:qFormat="1" w:uiPriority="99" w:name="Note Heading"/>
    <w:lsdException w:qFormat="1" w:uiPriority="99" w:name="Body Text 2"/>
    <w:lsdException w:qFormat="1" w:uiPriority="99" w:name="Body Text 3"/>
    <w:lsdException w:qFormat="1" w:uiPriority="99" w:name="Body Text Indent 2"/>
    <w:lsdException w:qFormat="1" w:uiPriority="99" w:name="Body Text Indent 3"/>
    <w:lsdException w:qFormat="1"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iPriority="99" w:name="Plain Text"/>
    <w:lsdException w:qFormat="1" w:uiPriority="99" w:name="E-mail Signature"/>
    <w:lsdException w:qFormat="1" w:uiPriority="99" w:name="Normal (Web)"/>
    <w:lsdException w:qFormat="1" w:uiPriority="99" w:name="HTML Acronym"/>
    <w:lsdException w:qFormat="1" w:uiPriority="99" w:name="HTML Address"/>
    <w:lsdException w:qFormat="1" w:uiPriority="99" w:name="HTML Cite"/>
    <w:lsdException w:qFormat="1" w:uiPriority="99" w:name="HTML Code"/>
    <w:lsdException w:qFormat="1" w:uiPriority="99" w:name="HTML Definition"/>
    <w:lsdException w:qFormat="1" w:uiPriority="99" w:name="HTML Keyboard"/>
    <w:lsdException w:qFormat="1" w:uiPriority="99" w:name="HTML Preformatted"/>
    <w:lsdException w:qFormat="1" w:uiPriority="99" w:name="HTML Sample"/>
    <w:lsdException w:qFormat="1" w:uiPriority="99" w:name="HTML Typewriter"/>
    <w:lsdException w:qFormat="1" w:uiPriority="99" w:name="HTML Variable"/>
    <w:lsdException w:qFormat="1" w:uiPriority="99" w:name="Normal Table"/>
    <w:lsdException w:qFormat="1" w:uiPriority="99" w:name="annotation subject"/>
    <w:lsdException w:qFormat="1" w:uiPriority="99" w:name="Table Simple 1"/>
    <w:lsdException w:qFormat="1" w:uiPriority="99" w:name="Table Simple 2"/>
    <w:lsdException w:qFormat="1" w:uiPriority="99" w:name="Table Simple 3"/>
    <w:lsdException w:qFormat="1" w:uiPriority="99" w:name="Table Classic 1"/>
    <w:lsdException w:qFormat="1" w:uiPriority="99" w:name="Table Classic 2"/>
    <w:lsdException w:qFormat="1" w:uiPriority="99" w:name="Table Classic 3"/>
    <w:lsdException w:qFormat="1" w:uiPriority="99" w:name="Table Classic 4"/>
    <w:lsdException w:qFormat="1" w:uiPriority="99" w:name="Table Colorful 1"/>
    <w:lsdException w:qFormat="1" w:uiPriority="99" w:name="Table Colorful 2"/>
    <w:lsdException w:qFormat="1" w:uiPriority="99" w:name="Table Colorful 3"/>
    <w:lsdException w:qFormat="1" w:uiPriority="99" w:name="Table Columns 1"/>
    <w:lsdException w:qFormat="1" w:uiPriority="99" w:name="Table Columns 2"/>
    <w:lsdException w:qFormat="1" w:uiPriority="99" w:name="Table Columns 3"/>
    <w:lsdException w:qFormat="1" w:uiPriority="99" w:name="Table Columns 4"/>
    <w:lsdException w:qFormat="1" w:uiPriority="99" w:name="Table Columns 5"/>
    <w:lsdException w:qFormat="1" w:uiPriority="99" w:name="Table Grid 1"/>
    <w:lsdException w:qFormat="1" w:uiPriority="99" w:name="Table Grid 2"/>
    <w:lsdException w:qFormat="1" w:uiPriority="99" w:name="Table Grid 3"/>
    <w:lsdException w:qFormat="1" w:uiPriority="99" w:name="Table Grid 4"/>
    <w:lsdException w:qFormat="1" w:uiPriority="99" w:name="Table Grid 5"/>
    <w:lsdException w:qFormat="1" w:uiPriority="99" w:name="Table Grid 6"/>
    <w:lsdException w:qFormat="1" w:uiPriority="99" w:name="Table Grid 7"/>
    <w:lsdException w:qFormat="1" w:uiPriority="99" w:name="Table Grid 8"/>
    <w:lsdException w:qFormat="1" w:uiPriority="99" w:name="Table List 1"/>
    <w:lsdException w:qFormat="1" w:uiPriority="99" w:name="Table List 2"/>
    <w:lsdException w:qFormat="1" w:uiPriority="99" w:name="Table List 3"/>
    <w:lsdException w:qFormat="1" w:uiPriority="99" w:name="Table List 4"/>
    <w:lsdException w:qFormat="1" w:uiPriority="99" w:name="Table List 5"/>
    <w:lsdException w:qFormat="1" w:uiPriority="99" w:name="Table List 6"/>
    <w:lsdException w:qFormat="1" w:uiPriority="99" w:name="Table List 7"/>
    <w:lsdException w:qFormat="1" w:uiPriority="99" w:name="Table List 8"/>
    <w:lsdException w:qFormat="1" w:uiPriority="99" w:name="Table 3D effects 1"/>
    <w:lsdException w:qFormat="1" w:uiPriority="99" w:name="Table 3D effects 2"/>
    <w:lsdException w:qFormat="1" w:uiPriority="99" w:name="Table 3D effects 3"/>
    <w:lsdException w:qFormat="1" w:uiPriority="99" w:name="Table Contemporary"/>
    <w:lsdException w:qFormat="1" w:uiPriority="99" w:name="Table Elegant"/>
    <w:lsdException w:qFormat="1" w:uiPriority="99" w:name="Table Professional"/>
    <w:lsdException w:qFormat="1" w:uiPriority="99" w:name="Table Subtle 1"/>
    <w:lsdException w:qFormat="1" w:uiPriority="99" w:name="Table Subtle 2"/>
    <w:lsdException w:qFormat="1" w:uiPriority="99" w:name="Table Web 1"/>
    <w:lsdException w:qFormat="1" w:uiPriority="99" w:name="Table Web 2"/>
    <w:lsdException w:qFormat="1" w:uiPriority="99" w:name="Table Web 3"/>
    <w:lsdException w:qFormat="1" w:uiPriority="99" w:name="Balloon Text"/>
    <w:lsdException w:qFormat="1" w:unhideWhenUsed="0" w:uiPriority="39" w:semiHidden="0" w:name="Table Grid"/>
    <w:lsdException w:qFormat="1" w:uiPriority="99" w:semiHidden="0" w:name="Table Theme"/>
    <w:lsdException w:qFormat="1" w:unhideWhenUsed="0" w:uiPriority="99" w:name="Placeholder Text"/>
    <w:lsdException w:uiPriority="99" w:name="No Spacing"/>
    <w:lsdException w:qFormat="1" w:uiPriority="60" w:name="Light Shading"/>
    <w:lsdException w:qFormat="1" w:uiPriority="61" w:name="Light List"/>
    <w:lsdException w:qFormat="1" w:uiPriority="62" w:name="Light Grid"/>
    <w:lsdException w:qFormat="1" w:uiPriority="63" w:name="Medium Shading 1"/>
    <w:lsdException w:qFormat="1" w:uiPriority="64" w:name="Medium Shading 2"/>
    <w:lsdException w:qFormat="1" w:uiPriority="65" w:name="Medium List 1"/>
    <w:lsdException w:qFormat="1" w:uiPriority="66" w:name="Medium List 2"/>
    <w:lsdException w:qFormat="1" w:uiPriority="67" w:name="Medium Grid 1"/>
    <w:lsdException w:qFormat="1" w:uiPriority="68" w:name="Medium Grid 2"/>
    <w:lsdException w:qFormat="1" w:uiPriority="69" w:name="Medium Grid 3"/>
    <w:lsdException w:qFormat="1" w:uiPriority="70" w:name="Dark List"/>
    <w:lsdException w:qFormat="1" w:uiPriority="71" w:name="Colorful Shading"/>
    <w:lsdException w:qFormat="1" w:uiPriority="72" w:name="Colorful List"/>
    <w:lsdException w:qFormat="1" w:uiPriority="73" w:name="Colorful Grid"/>
    <w:lsdException w:qFormat="1" w:uiPriority="60" w:name="Light Shading Accent 1"/>
    <w:lsdException w:qFormat="1" w:uiPriority="61" w:name="Light List Accent 1"/>
    <w:lsdException w:qFormat="1" w:uiPriority="62" w:name="Light Grid Accent 1"/>
    <w:lsdException w:qFormat="1" w:uiPriority="63" w:name="Medium Shading 1 Accent 1"/>
    <w:lsdException w:qFormat="1" w:uiPriority="64" w:name="Medium Shading 2 Accent 1"/>
    <w:lsdException w:qFormat="1" w:uiPriority="65" w:name="Medium List 1 Accent 1"/>
    <w:lsdException w:qFormat="1" w:unhideWhenUsed="0" w:uiPriority="34" w:semiHidden="0" w:name="List Paragraph"/>
    <w:lsdException w:qFormat="1" w:uiPriority="99" w:name="Quote"/>
    <w:lsdException w:qFormat="1" w:uiPriority="99" w:name="Intense Quote"/>
    <w:lsdException w:qFormat="1" w:uiPriority="66" w:name="Medium List 2 Accent 1"/>
    <w:lsdException w:qFormat="1" w:uiPriority="67" w:name="Medium Grid 1 Accent 1"/>
    <w:lsdException w:qFormat="1" w:uiPriority="68" w:name="Medium Grid 2 Accent 1"/>
    <w:lsdException w:qFormat="1" w:uiPriority="69" w:name="Medium Grid 3 Accent 1"/>
    <w:lsdException w:qFormat="1" w:uiPriority="70" w:name="Dark List Accent 1"/>
    <w:lsdException w:qFormat="1" w:uiPriority="71" w:name="Colorful Shading Accent 1"/>
    <w:lsdException w:qFormat="1" w:uiPriority="72" w:name="Colorful List Accent 1"/>
    <w:lsdException w:qFormat="1" w:uiPriority="73" w:name="Colorful Grid Accent 1"/>
    <w:lsdException w:qFormat="1" w:uiPriority="60" w:name="Light Shading Accent 2"/>
    <w:lsdException w:qFormat="1" w:uiPriority="61" w:name="Light List Accent 2"/>
    <w:lsdException w:qFormat="1" w:uiPriority="62" w:name="Light Grid Accent 2"/>
    <w:lsdException w:qFormat="1" w:uiPriority="63" w:name="Medium Shading 1 Accent 2"/>
    <w:lsdException w:qFormat="1" w:uiPriority="64" w:name="Medium Shading 2 Accent 2"/>
    <w:lsdException w:qFormat="1" w:uiPriority="65" w:name="Medium List 1 Accent 2"/>
    <w:lsdException w:qFormat="1" w:uiPriority="66" w:name="Medium List 2 Accent 2"/>
    <w:lsdException w:qFormat="1" w:uiPriority="67" w:name="Medium Grid 1 Accent 2"/>
    <w:lsdException w:qFormat="1" w:uiPriority="68" w:name="Medium Grid 2 Accent 2"/>
    <w:lsdException w:qFormat="1" w:uiPriority="69" w:name="Medium Grid 3 Accent 2"/>
    <w:lsdException w:qFormat="1" w:uiPriority="70" w:name="Dark List Accent 2"/>
    <w:lsdException w:qFormat="1" w:uiPriority="71" w:name="Colorful Shading Accent 2"/>
    <w:lsdException w:qFormat="1" w:uiPriority="72" w:name="Colorful List Accent 2"/>
    <w:lsdException w:qFormat="1" w:uiPriority="73" w:name="Colorful Grid Accent 2"/>
    <w:lsdException w:qFormat="1" w:uiPriority="60" w:name="Light Shading Accent 3"/>
    <w:lsdException w:qFormat="1" w:uiPriority="61" w:name="Light List Accent 3"/>
    <w:lsdException w:qFormat="1" w:uiPriority="62" w:name="Light Grid Accent 3"/>
    <w:lsdException w:qFormat="1" w:uiPriority="63" w:name="Medium Shading 1 Accent 3"/>
    <w:lsdException w:qFormat="1" w:uiPriority="64" w:name="Medium Shading 2 Accent 3"/>
    <w:lsdException w:qFormat="1" w:uiPriority="65" w:name="Medium List 1 Accent 3"/>
    <w:lsdException w:qFormat="1" w:uiPriority="66" w:name="Medium List 2 Accent 3"/>
    <w:lsdException w:qFormat="1" w:uiPriority="67" w:name="Medium Grid 1 Accent 3"/>
    <w:lsdException w:qFormat="1" w:uiPriority="68" w:name="Medium Grid 2 Accent 3"/>
    <w:lsdException w:qFormat="1" w:uiPriority="69" w:name="Medium Grid 3 Accent 3"/>
    <w:lsdException w:qFormat="1" w:uiPriority="70" w:name="Dark List Accent 3"/>
    <w:lsdException w:qFormat="1" w:uiPriority="71" w:name="Colorful Shading Accent 3"/>
    <w:lsdException w:qFormat="1" w:uiPriority="72" w:name="Colorful List Accent 3"/>
    <w:lsdException w:qFormat="1" w:uiPriority="73" w:name="Colorful Grid Accent 3"/>
    <w:lsdException w:qFormat="1" w:uiPriority="60" w:name="Light Shading Accent 4"/>
    <w:lsdException w:qFormat="1" w:uiPriority="61" w:name="Light List Accent 4"/>
    <w:lsdException w:qFormat="1" w:uiPriority="62" w:name="Light Grid Accent 4"/>
    <w:lsdException w:qFormat="1" w:uiPriority="63" w:name="Medium Shading 1 Accent 4"/>
    <w:lsdException w:qFormat="1" w:uiPriority="64" w:name="Medium Shading 2 Accent 4"/>
    <w:lsdException w:qFormat="1" w:uiPriority="65" w:name="Medium List 1 Accent 4"/>
    <w:lsdException w:qFormat="1" w:uiPriority="66" w:name="Medium List 2 Accent 4"/>
    <w:lsdException w:qFormat="1" w:uiPriority="67" w:name="Medium Grid 1 Accent 4"/>
    <w:lsdException w:qFormat="1" w:uiPriority="68" w:name="Medium Grid 2 Accent 4"/>
    <w:lsdException w:qFormat="1" w:uiPriority="69" w:name="Medium Grid 3 Accent 4"/>
    <w:lsdException w:qFormat="1" w:uiPriority="70" w:name="Dark List Accent 4"/>
    <w:lsdException w:qFormat="1" w:uiPriority="71" w:name="Colorful Shading Accent 4"/>
    <w:lsdException w:qFormat="1" w:uiPriority="72" w:name="Colorful List Accent 4"/>
    <w:lsdException w:qFormat="1" w:uiPriority="73" w:name="Colorful Grid Accent 4"/>
    <w:lsdException w:qFormat="1" w:uiPriority="60" w:name="Light Shading Accent 5"/>
    <w:lsdException w:qFormat="1" w:uiPriority="61" w:name="Light List Accent 5"/>
    <w:lsdException w:qFormat="1" w:uiPriority="62" w:name="Light Grid Accent 5"/>
    <w:lsdException w:qFormat="1" w:uiPriority="63" w:name="Medium Shading 1 Accent 5"/>
    <w:lsdException w:qFormat="1" w:uiPriority="64" w:name="Medium Shading 2 Accent 5"/>
    <w:lsdException w:qFormat="1" w:uiPriority="65" w:name="Medium List 1 Accent 5"/>
    <w:lsdException w:qFormat="1" w:uiPriority="66" w:name="Medium List 2 Accent 5"/>
    <w:lsdException w:qFormat="1" w:uiPriority="67" w:name="Medium Grid 1 Accent 5"/>
    <w:lsdException w:qFormat="1" w:uiPriority="68" w:name="Medium Grid 2 Accent 5"/>
    <w:lsdException w:qFormat="1" w:uiPriority="69" w:name="Medium Grid 3 Accent 5"/>
    <w:lsdException w:qFormat="1" w:uiPriority="70" w:name="Dark List Accent 5"/>
    <w:lsdException w:qFormat="1" w:uiPriority="71" w:name="Colorful Shading Accent 5"/>
    <w:lsdException w:qFormat="1" w:uiPriority="72" w:name="Colorful List Accent 5"/>
    <w:lsdException w:qFormat="1" w:uiPriority="73" w:name="Colorful Grid Accent 5"/>
    <w:lsdException w:qFormat="1" w:uiPriority="60" w:name="Light Shading Accent 6"/>
    <w:lsdException w:qFormat="1" w:uiPriority="61" w:name="Light List Accent 6"/>
    <w:lsdException w:qFormat="1" w:uiPriority="62" w:name="Light Grid Accent 6"/>
    <w:lsdException w:qFormat="1" w:uiPriority="63" w:name="Medium Shading 1 Accent 6"/>
    <w:lsdException w:qFormat="1" w:uiPriority="64" w:name="Medium Shading 2 Accent 6"/>
    <w:lsdException w:qFormat="1" w:uiPriority="65" w:name="Medium List 1 Accent 6"/>
    <w:lsdException w:qFormat="1" w:uiPriority="66" w:name="Medium List 2 Accent 6"/>
    <w:lsdException w:qFormat="1" w:uiPriority="67" w:name="Medium Grid 1 Accent 6"/>
    <w:lsdException w:qFormat="1" w:uiPriority="68" w:name="Medium Grid 2 Accent 6"/>
    <w:lsdException w:qFormat="1" w:uiPriority="69" w:name="Medium Grid 3 Accent 6"/>
    <w:lsdException w:qFormat="1" w:uiPriority="70" w:name="Dark List Accent 6"/>
    <w:lsdException w:qFormat="1" w:uiPriority="71" w:name="Colorful Shading Accent 6"/>
    <w:lsdException w:qFormat="1" w:uiPriority="72" w:name="Colorful List Accent 6"/>
    <w:lsdException w:qFormat="1" w:uiPriority="73" w:name="Colorful Grid Accent 6"/>
  </w:latentStyles>
  <w:style w:type="paragraph" w:default="1" w:styleId="1">
    <w:name w:val="Normal"/>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standardContextual"/>
    </w:rPr>
  </w:style>
  <w:style w:type="paragraph" w:styleId="3">
    <w:name w:val="heading 1"/>
    <w:basedOn w:val="1"/>
    <w:next w:val="1"/>
    <w:link w:val="260"/>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270"/>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271"/>
    <w:semiHidden/>
    <w:unhideWhenUsed/>
    <w:qFormat/>
    <w:uiPriority w:val="9"/>
    <w:pPr>
      <w:keepNext/>
      <w:keepLines/>
      <w:spacing w:before="260" w:after="260" w:line="416" w:lineRule="auto"/>
      <w:outlineLvl w:val="2"/>
    </w:pPr>
    <w:rPr>
      <w:b/>
      <w:bCs/>
      <w:sz w:val="32"/>
      <w:szCs w:val="32"/>
    </w:rPr>
  </w:style>
  <w:style w:type="paragraph" w:styleId="6">
    <w:name w:val="heading 4"/>
    <w:basedOn w:val="1"/>
    <w:next w:val="1"/>
    <w:link w:val="272"/>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7">
    <w:name w:val="heading 5"/>
    <w:basedOn w:val="1"/>
    <w:next w:val="1"/>
    <w:link w:val="273"/>
    <w:semiHidden/>
    <w:unhideWhenUsed/>
    <w:qFormat/>
    <w:uiPriority w:val="9"/>
    <w:pPr>
      <w:keepNext/>
      <w:keepLines/>
      <w:spacing w:before="280" w:after="290" w:line="376" w:lineRule="auto"/>
      <w:outlineLvl w:val="4"/>
    </w:pPr>
    <w:rPr>
      <w:b/>
      <w:bCs/>
      <w:sz w:val="28"/>
      <w:szCs w:val="28"/>
    </w:rPr>
  </w:style>
  <w:style w:type="paragraph" w:styleId="8">
    <w:name w:val="heading 6"/>
    <w:basedOn w:val="1"/>
    <w:next w:val="1"/>
    <w:link w:val="274"/>
    <w:semiHidden/>
    <w:unhideWhenUsed/>
    <w:qFormat/>
    <w:uiPriority w:val="9"/>
    <w:pPr>
      <w:keepNext/>
      <w:keepLines/>
      <w:spacing w:before="240" w:after="64" w:line="320" w:lineRule="auto"/>
      <w:outlineLvl w:val="5"/>
    </w:pPr>
    <w:rPr>
      <w:rFonts w:asciiTheme="majorHAnsi" w:hAnsiTheme="majorHAnsi" w:eastAsiaTheme="majorEastAsia" w:cstheme="majorBidi"/>
      <w:b/>
      <w:bCs/>
      <w:sz w:val="24"/>
    </w:rPr>
  </w:style>
  <w:style w:type="paragraph" w:styleId="9">
    <w:name w:val="heading 7"/>
    <w:basedOn w:val="1"/>
    <w:next w:val="1"/>
    <w:link w:val="275"/>
    <w:semiHidden/>
    <w:unhideWhenUsed/>
    <w:qFormat/>
    <w:uiPriority w:val="9"/>
    <w:pPr>
      <w:keepNext/>
      <w:keepLines/>
      <w:spacing w:before="240" w:after="64" w:line="320" w:lineRule="auto"/>
      <w:outlineLvl w:val="6"/>
    </w:pPr>
    <w:rPr>
      <w:b/>
      <w:bCs/>
      <w:sz w:val="24"/>
    </w:rPr>
  </w:style>
  <w:style w:type="paragraph" w:styleId="10">
    <w:name w:val="heading 8"/>
    <w:basedOn w:val="1"/>
    <w:next w:val="1"/>
    <w:link w:val="276"/>
    <w:semiHidden/>
    <w:unhideWhenUsed/>
    <w:qFormat/>
    <w:uiPriority w:val="9"/>
    <w:pPr>
      <w:keepNext/>
      <w:keepLines/>
      <w:spacing w:before="240" w:after="64" w:line="320" w:lineRule="auto"/>
      <w:outlineLvl w:val="7"/>
    </w:pPr>
    <w:rPr>
      <w:rFonts w:asciiTheme="majorHAnsi" w:hAnsiTheme="majorHAnsi" w:eastAsiaTheme="majorEastAsia" w:cstheme="majorBidi"/>
      <w:sz w:val="24"/>
    </w:rPr>
  </w:style>
  <w:style w:type="paragraph" w:styleId="11">
    <w:name w:val="heading 9"/>
    <w:basedOn w:val="1"/>
    <w:next w:val="1"/>
    <w:link w:val="277"/>
    <w:semiHidden/>
    <w:unhideWhenUsed/>
    <w:qFormat/>
    <w:uiPriority w:val="9"/>
    <w:pPr>
      <w:keepNext/>
      <w:keepLines/>
      <w:spacing w:before="240" w:after="64" w:line="320" w:lineRule="auto"/>
      <w:outlineLvl w:val="8"/>
    </w:pPr>
    <w:rPr>
      <w:rFonts w:asciiTheme="majorHAnsi" w:hAnsiTheme="majorHAnsi" w:eastAsiaTheme="majorEastAsia" w:cstheme="majorBidi"/>
      <w:sz w:val="21"/>
      <w:szCs w:val="21"/>
    </w:rPr>
  </w:style>
  <w:style w:type="character" w:default="1" w:styleId="231">
    <w:name w:val="Default Paragraph Font"/>
    <w:semiHidden/>
    <w:unhideWhenUsed/>
    <w:qFormat/>
    <w:uiPriority w:val="1"/>
  </w:style>
  <w:style w:type="table" w:default="1" w:styleId="88">
    <w:name w:val="Normal Table"/>
    <w:semiHidden/>
    <w:unhideWhenUsed/>
    <w:qFormat/>
    <w:uiPriority w:val="99"/>
    <w:tblPr>
      <w:tblCellMar>
        <w:top w:w="0" w:type="dxa"/>
        <w:left w:w="108" w:type="dxa"/>
        <w:bottom w:w="0" w:type="dxa"/>
        <w:right w:w="108" w:type="dxa"/>
      </w:tblCellMar>
    </w:tblPr>
  </w:style>
  <w:style w:type="paragraph" w:styleId="2">
    <w:name w:val="macro"/>
    <w:link w:val="284"/>
    <w:semiHidden/>
    <w:unhideWhenUsed/>
    <w:qFormat/>
    <w:uiPriority w:val="99"/>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after="160"/>
    </w:pPr>
    <w:rPr>
      <w:rFonts w:ascii="Courier New" w:hAnsi="Courier New" w:eastAsia="宋体" w:cs="Courier New"/>
      <w:kern w:val="2"/>
      <w:sz w:val="24"/>
      <w:szCs w:val="24"/>
      <w:lang w:val="en-US" w:eastAsia="zh-CN" w:bidi="ar-SA"/>
      <w14:ligatures w14:val="standardContextual"/>
    </w:rPr>
  </w:style>
  <w:style w:type="paragraph" w:styleId="12">
    <w:name w:val="List 3"/>
    <w:basedOn w:val="1"/>
    <w:semiHidden/>
    <w:unhideWhenUsed/>
    <w:qFormat/>
    <w:uiPriority w:val="99"/>
    <w:pPr>
      <w:ind w:left="100" w:leftChars="400" w:hanging="200" w:hangingChars="200"/>
      <w:contextualSpacing/>
    </w:pPr>
  </w:style>
  <w:style w:type="paragraph" w:styleId="13">
    <w:name w:val="toc 7"/>
    <w:basedOn w:val="1"/>
    <w:next w:val="1"/>
    <w:semiHidden/>
    <w:unhideWhenUsed/>
    <w:qFormat/>
    <w:uiPriority w:val="39"/>
    <w:pPr>
      <w:ind w:left="2520" w:leftChars="1200"/>
    </w:pPr>
  </w:style>
  <w:style w:type="paragraph" w:styleId="14">
    <w:name w:val="List Number 2"/>
    <w:basedOn w:val="1"/>
    <w:semiHidden/>
    <w:unhideWhenUsed/>
    <w:qFormat/>
    <w:uiPriority w:val="99"/>
    <w:pPr>
      <w:numPr>
        <w:ilvl w:val="0"/>
        <w:numId w:val="1"/>
      </w:numPr>
      <w:contextualSpacing/>
    </w:pPr>
  </w:style>
  <w:style w:type="paragraph" w:styleId="15">
    <w:name w:val="table of authorities"/>
    <w:basedOn w:val="1"/>
    <w:next w:val="1"/>
    <w:semiHidden/>
    <w:unhideWhenUsed/>
    <w:qFormat/>
    <w:uiPriority w:val="99"/>
    <w:pPr>
      <w:ind w:left="420" w:leftChars="200"/>
    </w:pPr>
  </w:style>
  <w:style w:type="paragraph" w:styleId="16">
    <w:name w:val="Note Heading"/>
    <w:basedOn w:val="1"/>
    <w:next w:val="1"/>
    <w:link w:val="416"/>
    <w:semiHidden/>
    <w:unhideWhenUsed/>
    <w:qFormat/>
    <w:uiPriority w:val="99"/>
    <w:pPr>
      <w:jc w:val="center"/>
    </w:pPr>
  </w:style>
  <w:style w:type="paragraph" w:styleId="17">
    <w:name w:val="List Bullet 4"/>
    <w:basedOn w:val="1"/>
    <w:semiHidden/>
    <w:unhideWhenUsed/>
    <w:qFormat/>
    <w:uiPriority w:val="99"/>
    <w:pPr>
      <w:numPr>
        <w:ilvl w:val="0"/>
        <w:numId w:val="2"/>
      </w:numPr>
      <w:contextualSpacing/>
    </w:pPr>
  </w:style>
  <w:style w:type="paragraph" w:styleId="18">
    <w:name w:val="index 8"/>
    <w:basedOn w:val="1"/>
    <w:next w:val="1"/>
    <w:semiHidden/>
    <w:unhideWhenUsed/>
    <w:qFormat/>
    <w:uiPriority w:val="99"/>
    <w:pPr>
      <w:ind w:left="1400" w:leftChars="1400"/>
    </w:pPr>
  </w:style>
  <w:style w:type="paragraph" w:styleId="19">
    <w:name w:val="E-mail Signature"/>
    <w:basedOn w:val="1"/>
    <w:link w:val="282"/>
    <w:semiHidden/>
    <w:unhideWhenUsed/>
    <w:qFormat/>
    <w:uiPriority w:val="99"/>
  </w:style>
  <w:style w:type="paragraph" w:styleId="20">
    <w:name w:val="List Number"/>
    <w:basedOn w:val="1"/>
    <w:semiHidden/>
    <w:unhideWhenUsed/>
    <w:qFormat/>
    <w:uiPriority w:val="99"/>
    <w:pPr>
      <w:numPr>
        <w:ilvl w:val="0"/>
        <w:numId w:val="3"/>
      </w:numPr>
      <w:contextualSpacing/>
    </w:pPr>
  </w:style>
  <w:style w:type="paragraph" w:styleId="21">
    <w:name w:val="Normal Indent"/>
    <w:basedOn w:val="1"/>
    <w:semiHidden/>
    <w:unhideWhenUsed/>
    <w:qFormat/>
    <w:uiPriority w:val="99"/>
    <w:pPr>
      <w:ind w:firstLine="420" w:firstLineChars="200"/>
    </w:pPr>
  </w:style>
  <w:style w:type="paragraph" w:styleId="22">
    <w:name w:val="caption"/>
    <w:basedOn w:val="1"/>
    <w:next w:val="1"/>
    <w:semiHidden/>
    <w:unhideWhenUsed/>
    <w:qFormat/>
    <w:uiPriority w:val="35"/>
    <w:rPr>
      <w:rFonts w:eastAsia="黑体" w:asciiTheme="majorHAnsi" w:hAnsiTheme="majorHAnsi" w:cstheme="majorBidi"/>
      <w:sz w:val="20"/>
      <w:szCs w:val="20"/>
    </w:rPr>
  </w:style>
  <w:style w:type="paragraph" w:styleId="23">
    <w:name w:val="index 5"/>
    <w:basedOn w:val="1"/>
    <w:next w:val="1"/>
    <w:semiHidden/>
    <w:unhideWhenUsed/>
    <w:qFormat/>
    <w:uiPriority w:val="99"/>
    <w:pPr>
      <w:ind w:left="800" w:leftChars="800"/>
    </w:pPr>
  </w:style>
  <w:style w:type="paragraph" w:styleId="24">
    <w:name w:val="List Bullet"/>
    <w:basedOn w:val="1"/>
    <w:semiHidden/>
    <w:unhideWhenUsed/>
    <w:qFormat/>
    <w:uiPriority w:val="99"/>
    <w:pPr>
      <w:numPr>
        <w:ilvl w:val="0"/>
        <w:numId w:val="4"/>
      </w:numPr>
      <w:contextualSpacing/>
    </w:pPr>
  </w:style>
  <w:style w:type="paragraph" w:styleId="25">
    <w:name w:val="envelope address"/>
    <w:basedOn w:val="1"/>
    <w:semiHidden/>
    <w:unhideWhenUsed/>
    <w:qFormat/>
    <w:uiPriority w:val="99"/>
    <w:pPr>
      <w:framePr w:w="7920" w:h="1980" w:hRule="exact" w:hSpace="180" w:wrap="auto" w:vAnchor="margin" w:hAnchor="page" w:xAlign="center" w:yAlign="bottom"/>
      <w:snapToGrid w:val="0"/>
      <w:ind w:left="100" w:leftChars="1400"/>
    </w:pPr>
    <w:rPr>
      <w:rFonts w:asciiTheme="majorHAnsi" w:hAnsiTheme="majorHAnsi" w:eastAsiaTheme="majorEastAsia" w:cstheme="majorBidi"/>
      <w:sz w:val="24"/>
    </w:rPr>
  </w:style>
  <w:style w:type="paragraph" w:styleId="26">
    <w:name w:val="Document Map"/>
    <w:basedOn w:val="1"/>
    <w:link w:val="396"/>
    <w:semiHidden/>
    <w:unhideWhenUsed/>
    <w:qFormat/>
    <w:uiPriority w:val="99"/>
    <w:rPr>
      <w:rFonts w:ascii="Microsoft YaHei UI" w:eastAsia="Microsoft YaHei UI"/>
      <w:sz w:val="18"/>
      <w:szCs w:val="18"/>
    </w:rPr>
  </w:style>
  <w:style w:type="paragraph" w:styleId="27">
    <w:name w:val="toa heading"/>
    <w:basedOn w:val="1"/>
    <w:next w:val="1"/>
    <w:semiHidden/>
    <w:unhideWhenUsed/>
    <w:qFormat/>
    <w:uiPriority w:val="99"/>
    <w:pPr>
      <w:spacing w:before="120"/>
    </w:pPr>
    <w:rPr>
      <w:rFonts w:asciiTheme="majorHAnsi" w:hAnsiTheme="majorHAnsi" w:eastAsiaTheme="majorEastAsia" w:cstheme="majorBidi"/>
      <w:sz w:val="24"/>
    </w:rPr>
  </w:style>
  <w:style w:type="paragraph" w:styleId="28">
    <w:name w:val="annotation text"/>
    <w:basedOn w:val="1"/>
    <w:link w:val="263"/>
    <w:semiHidden/>
    <w:unhideWhenUsed/>
    <w:qFormat/>
    <w:uiPriority w:val="99"/>
  </w:style>
  <w:style w:type="paragraph" w:styleId="29">
    <w:name w:val="index 6"/>
    <w:basedOn w:val="1"/>
    <w:next w:val="1"/>
    <w:semiHidden/>
    <w:unhideWhenUsed/>
    <w:qFormat/>
    <w:uiPriority w:val="99"/>
    <w:pPr>
      <w:ind w:left="1000" w:leftChars="1000"/>
    </w:pPr>
  </w:style>
  <w:style w:type="paragraph" w:styleId="30">
    <w:name w:val="Salutation"/>
    <w:basedOn w:val="1"/>
    <w:next w:val="1"/>
    <w:link w:val="280"/>
    <w:semiHidden/>
    <w:unhideWhenUsed/>
    <w:qFormat/>
    <w:uiPriority w:val="99"/>
  </w:style>
  <w:style w:type="paragraph" w:styleId="31">
    <w:name w:val="Body Text 3"/>
    <w:basedOn w:val="1"/>
    <w:link w:val="408"/>
    <w:semiHidden/>
    <w:unhideWhenUsed/>
    <w:qFormat/>
    <w:uiPriority w:val="99"/>
    <w:pPr>
      <w:spacing w:after="120"/>
    </w:pPr>
    <w:rPr>
      <w:sz w:val="16"/>
      <w:szCs w:val="16"/>
    </w:rPr>
  </w:style>
  <w:style w:type="paragraph" w:styleId="32">
    <w:name w:val="Closing"/>
    <w:basedOn w:val="1"/>
    <w:link w:val="286"/>
    <w:semiHidden/>
    <w:unhideWhenUsed/>
    <w:qFormat/>
    <w:uiPriority w:val="99"/>
    <w:pPr>
      <w:ind w:left="100" w:leftChars="2100"/>
    </w:pPr>
  </w:style>
  <w:style w:type="paragraph" w:styleId="33">
    <w:name w:val="List Bullet 3"/>
    <w:basedOn w:val="1"/>
    <w:semiHidden/>
    <w:unhideWhenUsed/>
    <w:qFormat/>
    <w:uiPriority w:val="99"/>
    <w:pPr>
      <w:numPr>
        <w:ilvl w:val="0"/>
        <w:numId w:val="5"/>
      </w:numPr>
      <w:contextualSpacing/>
    </w:pPr>
  </w:style>
  <w:style w:type="paragraph" w:styleId="34">
    <w:name w:val="Body Text"/>
    <w:basedOn w:val="1"/>
    <w:link w:val="406"/>
    <w:semiHidden/>
    <w:unhideWhenUsed/>
    <w:qFormat/>
    <w:uiPriority w:val="99"/>
    <w:pPr>
      <w:spacing w:after="120"/>
    </w:pPr>
  </w:style>
  <w:style w:type="paragraph" w:styleId="35">
    <w:name w:val="Body Text Indent"/>
    <w:basedOn w:val="1"/>
    <w:link w:val="410"/>
    <w:semiHidden/>
    <w:unhideWhenUsed/>
    <w:qFormat/>
    <w:uiPriority w:val="99"/>
    <w:pPr>
      <w:spacing w:after="120"/>
      <w:ind w:left="420" w:leftChars="200"/>
    </w:pPr>
  </w:style>
  <w:style w:type="paragraph" w:styleId="36">
    <w:name w:val="List Number 3"/>
    <w:basedOn w:val="1"/>
    <w:semiHidden/>
    <w:unhideWhenUsed/>
    <w:qFormat/>
    <w:uiPriority w:val="99"/>
    <w:pPr>
      <w:numPr>
        <w:ilvl w:val="0"/>
        <w:numId w:val="6"/>
      </w:numPr>
      <w:contextualSpacing/>
    </w:pPr>
  </w:style>
  <w:style w:type="paragraph" w:styleId="37">
    <w:name w:val="List 2"/>
    <w:basedOn w:val="1"/>
    <w:semiHidden/>
    <w:unhideWhenUsed/>
    <w:qFormat/>
    <w:uiPriority w:val="99"/>
    <w:pPr>
      <w:ind w:left="100" w:leftChars="200" w:hanging="200" w:hangingChars="200"/>
      <w:contextualSpacing/>
    </w:pPr>
  </w:style>
  <w:style w:type="paragraph" w:styleId="38">
    <w:name w:val="List Continue"/>
    <w:basedOn w:val="1"/>
    <w:semiHidden/>
    <w:unhideWhenUsed/>
    <w:qFormat/>
    <w:uiPriority w:val="99"/>
    <w:pPr>
      <w:spacing w:after="120"/>
      <w:ind w:left="420" w:leftChars="200"/>
      <w:contextualSpacing/>
    </w:pPr>
  </w:style>
  <w:style w:type="paragraph" w:styleId="39">
    <w:name w:val="Block Text"/>
    <w:basedOn w:val="1"/>
    <w:semiHidden/>
    <w:unhideWhenUsed/>
    <w:qFormat/>
    <w:uiPriority w:val="99"/>
    <w:pPr>
      <w:spacing w:after="120"/>
      <w:ind w:left="1440" w:leftChars="700" w:right="1440" w:rightChars="700"/>
    </w:pPr>
  </w:style>
  <w:style w:type="paragraph" w:styleId="40">
    <w:name w:val="List Bullet 2"/>
    <w:basedOn w:val="1"/>
    <w:semiHidden/>
    <w:unhideWhenUsed/>
    <w:qFormat/>
    <w:uiPriority w:val="99"/>
    <w:pPr>
      <w:numPr>
        <w:ilvl w:val="0"/>
        <w:numId w:val="7"/>
      </w:numPr>
      <w:contextualSpacing/>
    </w:pPr>
  </w:style>
  <w:style w:type="paragraph" w:styleId="41">
    <w:name w:val="HTML Address"/>
    <w:basedOn w:val="1"/>
    <w:link w:val="266"/>
    <w:semiHidden/>
    <w:unhideWhenUsed/>
    <w:qFormat/>
    <w:uiPriority w:val="99"/>
    <w:rPr>
      <w:i/>
      <w:iCs/>
    </w:rPr>
  </w:style>
  <w:style w:type="paragraph" w:styleId="42">
    <w:name w:val="index 4"/>
    <w:basedOn w:val="1"/>
    <w:next w:val="1"/>
    <w:semiHidden/>
    <w:unhideWhenUsed/>
    <w:qFormat/>
    <w:uiPriority w:val="99"/>
    <w:pPr>
      <w:ind w:left="600" w:leftChars="600"/>
    </w:pPr>
  </w:style>
  <w:style w:type="paragraph" w:styleId="43">
    <w:name w:val="toc 5"/>
    <w:basedOn w:val="1"/>
    <w:next w:val="1"/>
    <w:semiHidden/>
    <w:unhideWhenUsed/>
    <w:qFormat/>
    <w:uiPriority w:val="39"/>
    <w:pPr>
      <w:ind w:left="1680" w:leftChars="800"/>
    </w:pPr>
  </w:style>
  <w:style w:type="paragraph" w:styleId="44">
    <w:name w:val="toc 3"/>
    <w:basedOn w:val="1"/>
    <w:next w:val="1"/>
    <w:unhideWhenUsed/>
    <w:qFormat/>
    <w:uiPriority w:val="39"/>
    <w:pPr>
      <w:ind w:left="840" w:leftChars="400"/>
    </w:pPr>
  </w:style>
  <w:style w:type="paragraph" w:styleId="45">
    <w:name w:val="Plain Text"/>
    <w:basedOn w:val="1"/>
    <w:link w:val="281"/>
    <w:semiHidden/>
    <w:unhideWhenUsed/>
    <w:qFormat/>
    <w:uiPriority w:val="99"/>
    <w:rPr>
      <w:rFonts w:hAnsi="Courier New" w:cs="Courier New" w:asciiTheme="minorEastAsia"/>
    </w:rPr>
  </w:style>
  <w:style w:type="paragraph" w:styleId="46">
    <w:name w:val="List Bullet 5"/>
    <w:basedOn w:val="1"/>
    <w:semiHidden/>
    <w:unhideWhenUsed/>
    <w:qFormat/>
    <w:uiPriority w:val="99"/>
    <w:pPr>
      <w:numPr>
        <w:ilvl w:val="0"/>
        <w:numId w:val="8"/>
      </w:numPr>
      <w:contextualSpacing/>
    </w:pPr>
  </w:style>
  <w:style w:type="paragraph" w:styleId="47">
    <w:name w:val="List Number 4"/>
    <w:basedOn w:val="1"/>
    <w:semiHidden/>
    <w:unhideWhenUsed/>
    <w:qFormat/>
    <w:uiPriority w:val="99"/>
    <w:pPr>
      <w:numPr>
        <w:ilvl w:val="0"/>
        <w:numId w:val="9"/>
      </w:numPr>
      <w:contextualSpacing/>
    </w:pPr>
  </w:style>
  <w:style w:type="paragraph" w:styleId="48">
    <w:name w:val="toc 8"/>
    <w:basedOn w:val="1"/>
    <w:next w:val="1"/>
    <w:semiHidden/>
    <w:unhideWhenUsed/>
    <w:qFormat/>
    <w:uiPriority w:val="39"/>
    <w:pPr>
      <w:ind w:left="2940" w:leftChars="1400"/>
    </w:pPr>
  </w:style>
  <w:style w:type="paragraph" w:styleId="49">
    <w:name w:val="index 3"/>
    <w:basedOn w:val="1"/>
    <w:next w:val="1"/>
    <w:semiHidden/>
    <w:unhideWhenUsed/>
    <w:qFormat/>
    <w:uiPriority w:val="99"/>
    <w:pPr>
      <w:ind w:left="400" w:leftChars="400"/>
    </w:pPr>
  </w:style>
  <w:style w:type="paragraph" w:styleId="50">
    <w:name w:val="Date"/>
    <w:basedOn w:val="1"/>
    <w:next w:val="1"/>
    <w:link w:val="256"/>
    <w:semiHidden/>
    <w:unhideWhenUsed/>
    <w:qFormat/>
    <w:uiPriority w:val="99"/>
    <w:pPr>
      <w:ind w:left="100" w:leftChars="2500"/>
    </w:pPr>
  </w:style>
  <w:style w:type="paragraph" w:styleId="51">
    <w:name w:val="Body Text Indent 2"/>
    <w:basedOn w:val="1"/>
    <w:link w:val="412"/>
    <w:semiHidden/>
    <w:unhideWhenUsed/>
    <w:qFormat/>
    <w:uiPriority w:val="99"/>
    <w:pPr>
      <w:spacing w:after="120" w:line="480" w:lineRule="auto"/>
      <w:ind w:left="420" w:leftChars="200"/>
    </w:pPr>
  </w:style>
  <w:style w:type="paragraph" w:styleId="52">
    <w:name w:val="endnote text"/>
    <w:basedOn w:val="1"/>
    <w:link w:val="394"/>
    <w:semiHidden/>
    <w:unhideWhenUsed/>
    <w:qFormat/>
    <w:uiPriority w:val="99"/>
    <w:pPr>
      <w:snapToGrid w:val="0"/>
    </w:pPr>
  </w:style>
  <w:style w:type="paragraph" w:styleId="53">
    <w:name w:val="List Continue 5"/>
    <w:basedOn w:val="1"/>
    <w:semiHidden/>
    <w:unhideWhenUsed/>
    <w:qFormat/>
    <w:uiPriority w:val="99"/>
    <w:pPr>
      <w:spacing w:after="120"/>
      <w:ind w:left="2100" w:leftChars="1000"/>
      <w:contextualSpacing/>
    </w:pPr>
  </w:style>
  <w:style w:type="paragraph" w:styleId="54">
    <w:name w:val="Balloon Text"/>
    <w:basedOn w:val="1"/>
    <w:link w:val="262"/>
    <w:semiHidden/>
    <w:unhideWhenUsed/>
    <w:qFormat/>
    <w:uiPriority w:val="99"/>
    <w:pPr>
      <w:spacing w:after="0" w:line="240" w:lineRule="auto"/>
    </w:pPr>
    <w:rPr>
      <w:sz w:val="18"/>
      <w:szCs w:val="18"/>
    </w:rPr>
  </w:style>
  <w:style w:type="paragraph" w:styleId="55">
    <w:name w:val="footer"/>
    <w:basedOn w:val="1"/>
    <w:link w:val="250"/>
    <w:unhideWhenUsed/>
    <w:qFormat/>
    <w:uiPriority w:val="99"/>
    <w:pPr>
      <w:tabs>
        <w:tab w:val="center" w:pos="4153"/>
        <w:tab w:val="right" w:pos="8306"/>
      </w:tabs>
      <w:snapToGrid w:val="0"/>
      <w:spacing w:line="240" w:lineRule="auto"/>
    </w:pPr>
    <w:rPr>
      <w:sz w:val="18"/>
      <w:szCs w:val="18"/>
    </w:rPr>
  </w:style>
  <w:style w:type="paragraph" w:styleId="56">
    <w:name w:val="envelope return"/>
    <w:basedOn w:val="1"/>
    <w:semiHidden/>
    <w:unhideWhenUsed/>
    <w:qFormat/>
    <w:uiPriority w:val="99"/>
    <w:pPr>
      <w:snapToGrid w:val="0"/>
    </w:pPr>
    <w:rPr>
      <w:rFonts w:asciiTheme="majorHAnsi" w:hAnsiTheme="majorHAnsi" w:eastAsiaTheme="majorEastAsia" w:cstheme="majorBidi"/>
    </w:rPr>
  </w:style>
  <w:style w:type="paragraph" w:styleId="57">
    <w:name w:val="header"/>
    <w:basedOn w:val="1"/>
    <w:link w:val="249"/>
    <w:unhideWhenUsed/>
    <w:qFormat/>
    <w:uiPriority w:val="99"/>
    <w:pPr>
      <w:tabs>
        <w:tab w:val="center" w:pos="4153"/>
        <w:tab w:val="right" w:pos="8306"/>
      </w:tabs>
      <w:snapToGrid w:val="0"/>
      <w:spacing w:line="240" w:lineRule="auto"/>
      <w:jc w:val="center"/>
    </w:pPr>
    <w:rPr>
      <w:sz w:val="18"/>
      <w:szCs w:val="18"/>
    </w:rPr>
  </w:style>
  <w:style w:type="paragraph" w:styleId="58">
    <w:name w:val="Signature"/>
    <w:basedOn w:val="1"/>
    <w:link w:val="292"/>
    <w:semiHidden/>
    <w:unhideWhenUsed/>
    <w:qFormat/>
    <w:uiPriority w:val="99"/>
    <w:pPr>
      <w:ind w:left="100" w:leftChars="2100"/>
    </w:pPr>
  </w:style>
  <w:style w:type="paragraph" w:styleId="59">
    <w:name w:val="toc 1"/>
    <w:basedOn w:val="1"/>
    <w:next w:val="1"/>
    <w:unhideWhenUsed/>
    <w:qFormat/>
    <w:uiPriority w:val="39"/>
  </w:style>
  <w:style w:type="paragraph" w:styleId="60">
    <w:name w:val="List Continue 4"/>
    <w:basedOn w:val="1"/>
    <w:semiHidden/>
    <w:unhideWhenUsed/>
    <w:qFormat/>
    <w:uiPriority w:val="99"/>
    <w:pPr>
      <w:spacing w:after="120"/>
      <w:ind w:left="1680" w:leftChars="800"/>
      <w:contextualSpacing/>
    </w:pPr>
  </w:style>
  <w:style w:type="paragraph" w:styleId="61">
    <w:name w:val="toc 4"/>
    <w:basedOn w:val="1"/>
    <w:next w:val="1"/>
    <w:semiHidden/>
    <w:unhideWhenUsed/>
    <w:qFormat/>
    <w:uiPriority w:val="39"/>
    <w:pPr>
      <w:ind w:left="1260" w:leftChars="600"/>
    </w:pPr>
  </w:style>
  <w:style w:type="paragraph" w:styleId="62">
    <w:name w:val="index heading"/>
    <w:basedOn w:val="1"/>
    <w:next w:val="63"/>
    <w:semiHidden/>
    <w:unhideWhenUsed/>
    <w:qFormat/>
    <w:uiPriority w:val="99"/>
    <w:rPr>
      <w:rFonts w:asciiTheme="majorHAnsi" w:hAnsiTheme="majorHAnsi" w:eastAsiaTheme="majorEastAsia" w:cstheme="majorBidi"/>
      <w:b/>
      <w:bCs/>
    </w:rPr>
  </w:style>
  <w:style w:type="paragraph" w:styleId="63">
    <w:name w:val="index 1"/>
    <w:basedOn w:val="1"/>
    <w:next w:val="1"/>
    <w:semiHidden/>
    <w:unhideWhenUsed/>
    <w:qFormat/>
    <w:uiPriority w:val="99"/>
  </w:style>
  <w:style w:type="paragraph" w:styleId="64">
    <w:name w:val="Subtitle"/>
    <w:basedOn w:val="1"/>
    <w:next w:val="1"/>
    <w:link w:val="283"/>
    <w:qFormat/>
    <w:uiPriority w:val="11"/>
    <w:pPr>
      <w:spacing w:before="240" w:after="60" w:line="312" w:lineRule="auto"/>
      <w:jc w:val="center"/>
      <w:outlineLvl w:val="1"/>
    </w:pPr>
    <w:rPr>
      <w:b/>
      <w:bCs/>
      <w:kern w:val="28"/>
      <w:sz w:val="32"/>
      <w:szCs w:val="32"/>
    </w:rPr>
  </w:style>
  <w:style w:type="paragraph" w:styleId="65">
    <w:name w:val="List Number 5"/>
    <w:basedOn w:val="1"/>
    <w:semiHidden/>
    <w:unhideWhenUsed/>
    <w:qFormat/>
    <w:uiPriority w:val="99"/>
    <w:pPr>
      <w:numPr>
        <w:ilvl w:val="0"/>
        <w:numId w:val="10"/>
      </w:numPr>
      <w:contextualSpacing/>
    </w:pPr>
  </w:style>
  <w:style w:type="paragraph" w:styleId="66">
    <w:name w:val="List"/>
    <w:basedOn w:val="1"/>
    <w:semiHidden/>
    <w:unhideWhenUsed/>
    <w:qFormat/>
    <w:uiPriority w:val="99"/>
    <w:pPr>
      <w:ind w:left="200" w:hanging="200" w:hangingChars="200"/>
      <w:contextualSpacing/>
    </w:pPr>
  </w:style>
  <w:style w:type="paragraph" w:styleId="67">
    <w:name w:val="footnote text"/>
    <w:basedOn w:val="1"/>
    <w:link w:val="285"/>
    <w:semiHidden/>
    <w:unhideWhenUsed/>
    <w:qFormat/>
    <w:uiPriority w:val="99"/>
    <w:pPr>
      <w:snapToGrid w:val="0"/>
    </w:pPr>
    <w:rPr>
      <w:sz w:val="18"/>
      <w:szCs w:val="18"/>
    </w:rPr>
  </w:style>
  <w:style w:type="paragraph" w:styleId="68">
    <w:name w:val="toc 6"/>
    <w:basedOn w:val="1"/>
    <w:next w:val="1"/>
    <w:semiHidden/>
    <w:unhideWhenUsed/>
    <w:qFormat/>
    <w:uiPriority w:val="39"/>
    <w:pPr>
      <w:ind w:left="2100" w:leftChars="1000"/>
    </w:pPr>
  </w:style>
  <w:style w:type="paragraph" w:styleId="69">
    <w:name w:val="List 5"/>
    <w:basedOn w:val="1"/>
    <w:semiHidden/>
    <w:unhideWhenUsed/>
    <w:qFormat/>
    <w:uiPriority w:val="99"/>
    <w:pPr>
      <w:ind w:left="100" w:leftChars="800" w:hanging="200" w:hangingChars="200"/>
      <w:contextualSpacing/>
    </w:pPr>
  </w:style>
  <w:style w:type="paragraph" w:styleId="70">
    <w:name w:val="Body Text Indent 3"/>
    <w:basedOn w:val="1"/>
    <w:link w:val="413"/>
    <w:semiHidden/>
    <w:unhideWhenUsed/>
    <w:qFormat/>
    <w:uiPriority w:val="99"/>
    <w:pPr>
      <w:spacing w:after="120"/>
      <w:ind w:left="420" w:leftChars="200"/>
    </w:pPr>
    <w:rPr>
      <w:sz w:val="16"/>
      <w:szCs w:val="16"/>
    </w:rPr>
  </w:style>
  <w:style w:type="paragraph" w:styleId="71">
    <w:name w:val="index 7"/>
    <w:basedOn w:val="1"/>
    <w:next w:val="1"/>
    <w:semiHidden/>
    <w:unhideWhenUsed/>
    <w:qFormat/>
    <w:uiPriority w:val="99"/>
    <w:pPr>
      <w:ind w:left="1200" w:leftChars="1200"/>
    </w:pPr>
  </w:style>
  <w:style w:type="paragraph" w:styleId="72">
    <w:name w:val="index 9"/>
    <w:basedOn w:val="1"/>
    <w:next w:val="1"/>
    <w:semiHidden/>
    <w:unhideWhenUsed/>
    <w:qFormat/>
    <w:uiPriority w:val="99"/>
    <w:pPr>
      <w:ind w:left="1600" w:leftChars="1600"/>
    </w:pPr>
  </w:style>
  <w:style w:type="paragraph" w:styleId="73">
    <w:name w:val="table of figures"/>
    <w:basedOn w:val="1"/>
    <w:next w:val="1"/>
    <w:semiHidden/>
    <w:unhideWhenUsed/>
    <w:qFormat/>
    <w:uiPriority w:val="99"/>
    <w:pPr>
      <w:ind w:left="200" w:leftChars="200" w:hanging="200" w:hangingChars="200"/>
    </w:pPr>
  </w:style>
  <w:style w:type="paragraph" w:styleId="74">
    <w:name w:val="toc 2"/>
    <w:basedOn w:val="1"/>
    <w:next w:val="1"/>
    <w:unhideWhenUsed/>
    <w:qFormat/>
    <w:uiPriority w:val="39"/>
    <w:pPr>
      <w:ind w:left="420" w:leftChars="200"/>
    </w:pPr>
  </w:style>
  <w:style w:type="paragraph" w:styleId="75">
    <w:name w:val="toc 9"/>
    <w:basedOn w:val="1"/>
    <w:next w:val="1"/>
    <w:semiHidden/>
    <w:unhideWhenUsed/>
    <w:qFormat/>
    <w:uiPriority w:val="39"/>
    <w:pPr>
      <w:ind w:left="3360" w:leftChars="1600"/>
    </w:pPr>
  </w:style>
  <w:style w:type="paragraph" w:styleId="76">
    <w:name w:val="Body Text 2"/>
    <w:basedOn w:val="1"/>
    <w:link w:val="407"/>
    <w:semiHidden/>
    <w:unhideWhenUsed/>
    <w:qFormat/>
    <w:uiPriority w:val="99"/>
    <w:pPr>
      <w:spacing w:after="120" w:line="480" w:lineRule="auto"/>
    </w:pPr>
  </w:style>
  <w:style w:type="paragraph" w:styleId="77">
    <w:name w:val="List 4"/>
    <w:basedOn w:val="1"/>
    <w:semiHidden/>
    <w:unhideWhenUsed/>
    <w:qFormat/>
    <w:uiPriority w:val="99"/>
    <w:pPr>
      <w:ind w:left="100" w:leftChars="600" w:hanging="200" w:hangingChars="200"/>
      <w:contextualSpacing/>
    </w:pPr>
  </w:style>
  <w:style w:type="paragraph" w:styleId="78">
    <w:name w:val="List Continue 2"/>
    <w:basedOn w:val="1"/>
    <w:semiHidden/>
    <w:unhideWhenUsed/>
    <w:qFormat/>
    <w:uiPriority w:val="99"/>
    <w:pPr>
      <w:spacing w:after="120"/>
      <w:ind w:left="840" w:leftChars="400"/>
      <w:contextualSpacing/>
    </w:pPr>
  </w:style>
  <w:style w:type="paragraph" w:styleId="79">
    <w:name w:val="Message Header"/>
    <w:basedOn w:val="1"/>
    <w:link w:val="403"/>
    <w:semiHidden/>
    <w:unhideWhenUsed/>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Theme="majorHAnsi" w:hAnsiTheme="majorHAnsi" w:eastAsiaTheme="majorEastAsia" w:cstheme="majorBidi"/>
      <w:sz w:val="24"/>
    </w:rPr>
  </w:style>
  <w:style w:type="paragraph" w:styleId="80">
    <w:name w:val="HTML Preformatted"/>
    <w:basedOn w:val="1"/>
    <w:link w:val="267"/>
    <w:semiHidden/>
    <w:unhideWhenUsed/>
    <w:qFormat/>
    <w:uiPriority w:val="99"/>
    <w:rPr>
      <w:rFonts w:ascii="Courier New" w:hAnsi="Courier New" w:cs="Courier New"/>
      <w:sz w:val="20"/>
      <w:szCs w:val="20"/>
    </w:rPr>
  </w:style>
  <w:style w:type="paragraph" w:styleId="81">
    <w:name w:val="Normal (Web)"/>
    <w:basedOn w:val="1"/>
    <w:semiHidden/>
    <w:unhideWhenUsed/>
    <w:qFormat/>
    <w:uiPriority w:val="99"/>
    <w:rPr>
      <w:sz w:val="24"/>
    </w:rPr>
  </w:style>
  <w:style w:type="paragraph" w:styleId="82">
    <w:name w:val="List Continue 3"/>
    <w:basedOn w:val="1"/>
    <w:semiHidden/>
    <w:unhideWhenUsed/>
    <w:qFormat/>
    <w:uiPriority w:val="99"/>
    <w:pPr>
      <w:spacing w:after="120"/>
      <w:ind w:left="1260" w:leftChars="600"/>
      <w:contextualSpacing/>
    </w:pPr>
  </w:style>
  <w:style w:type="paragraph" w:styleId="83">
    <w:name w:val="index 2"/>
    <w:basedOn w:val="1"/>
    <w:next w:val="1"/>
    <w:semiHidden/>
    <w:unhideWhenUsed/>
    <w:qFormat/>
    <w:uiPriority w:val="99"/>
    <w:pPr>
      <w:ind w:left="200" w:leftChars="200"/>
    </w:pPr>
  </w:style>
  <w:style w:type="paragraph" w:styleId="84">
    <w:name w:val="Title"/>
    <w:basedOn w:val="1"/>
    <w:next w:val="1"/>
    <w:link w:val="269"/>
    <w:qFormat/>
    <w:uiPriority w:val="10"/>
    <w:pPr>
      <w:spacing w:before="240" w:after="60"/>
      <w:jc w:val="center"/>
      <w:outlineLvl w:val="0"/>
    </w:pPr>
    <w:rPr>
      <w:rFonts w:asciiTheme="majorHAnsi" w:hAnsiTheme="majorHAnsi" w:eastAsiaTheme="majorEastAsia" w:cstheme="majorBidi"/>
      <w:b/>
      <w:bCs/>
      <w:sz w:val="32"/>
      <w:szCs w:val="32"/>
    </w:rPr>
  </w:style>
  <w:style w:type="paragraph" w:styleId="85">
    <w:name w:val="annotation subject"/>
    <w:basedOn w:val="28"/>
    <w:next w:val="28"/>
    <w:link w:val="264"/>
    <w:semiHidden/>
    <w:unhideWhenUsed/>
    <w:qFormat/>
    <w:uiPriority w:val="99"/>
    <w:rPr>
      <w:b/>
      <w:bCs/>
    </w:rPr>
  </w:style>
  <w:style w:type="paragraph" w:styleId="86">
    <w:name w:val="Body Text First Indent"/>
    <w:basedOn w:val="34"/>
    <w:link w:val="409"/>
    <w:semiHidden/>
    <w:unhideWhenUsed/>
    <w:qFormat/>
    <w:uiPriority w:val="99"/>
    <w:pPr>
      <w:ind w:firstLine="420" w:firstLineChars="100"/>
    </w:pPr>
  </w:style>
  <w:style w:type="paragraph" w:styleId="87">
    <w:name w:val="Body Text First Indent 2"/>
    <w:basedOn w:val="35"/>
    <w:link w:val="411"/>
    <w:semiHidden/>
    <w:unhideWhenUsed/>
    <w:qFormat/>
    <w:uiPriority w:val="99"/>
    <w:pPr>
      <w:ind w:firstLine="420" w:firstLineChars="200"/>
    </w:pPr>
  </w:style>
  <w:style w:type="table" w:styleId="89">
    <w:name w:val="Table Grid"/>
    <w:basedOn w:val="8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0">
    <w:name w:val="Table Theme"/>
    <w:basedOn w:val="88"/>
    <w:unhideWhenUsed/>
    <w:qFormat/>
    <w:uiPriority w:val="99"/>
    <w:pPr>
      <w:widowControl w:val="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1">
    <w:name w:val="Table Colorful 1"/>
    <w:basedOn w:val="88"/>
    <w:semiHidden/>
    <w:unhideWhenUsed/>
    <w:qFormat/>
    <w:uiPriority w:val="99"/>
    <w:pPr>
      <w:widowControl w:val="0"/>
      <w:spacing w:after="160" w:line="278" w:lineRule="auto"/>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92">
    <w:name w:val="Table Colorful 2"/>
    <w:basedOn w:val="88"/>
    <w:semiHidden/>
    <w:unhideWhenUsed/>
    <w:qFormat/>
    <w:uiPriority w:val="99"/>
    <w:pPr>
      <w:widowControl w:val="0"/>
      <w:spacing w:after="160" w:line="278" w:lineRule="auto"/>
    </w:pPr>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93">
    <w:name w:val="Table Colorful 3"/>
    <w:basedOn w:val="88"/>
    <w:semiHidden/>
    <w:unhideWhenUsed/>
    <w:qFormat/>
    <w:uiPriority w:val="99"/>
    <w:pPr>
      <w:widowControl w:val="0"/>
      <w:spacing w:after="160" w:line="278" w:lineRule="auto"/>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il"/>
          <w:tr2bl w:val="nil"/>
        </w:tcBorders>
        <w:shd w:val="solid" w:color="008080" w:fill="FFFFFF"/>
      </w:tcPr>
    </w:tblStylePr>
    <w:tblStylePr w:type="firstCol">
      <w:tblPr/>
      <w:tcPr>
        <w:tcBorders>
          <w:left w:val="single" w:color="000000" w:sz="36" w:space="0"/>
          <w:right w:val="single" w:color="000000" w:sz="6" w:space="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94">
    <w:name w:val="Table Elegant"/>
    <w:basedOn w:val="88"/>
    <w:semiHidden/>
    <w:unhideWhenUsed/>
    <w:qFormat/>
    <w:uiPriority w:val="99"/>
    <w:pPr>
      <w:widowControl w:val="0"/>
      <w:spacing w:after="160" w:line="278" w:lineRule="auto"/>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il"/>
          <w:tr2bl w:val="nil"/>
        </w:tcBorders>
      </w:tcPr>
    </w:tblStylePr>
  </w:style>
  <w:style w:type="table" w:styleId="95">
    <w:name w:val="Table Classic 1"/>
    <w:basedOn w:val="88"/>
    <w:semiHidden/>
    <w:unhideWhenUsed/>
    <w:qFormat/>
    <w:uiPriority w:val="99"/>
    <w:pPr>
      <w:widowControl w:val="0"/>
      <w:spacing w:after="160" w:line="278" w:lineRule="auto"/>
    </w:p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96">
    <w:name w:val="Table Classic 2"/>
    <w:basedOn w:val="88"/>
    <w:semiHidden/>
    <w:unhideWhenUsed/>
    <w:qFormat/>
    <w:uiPriority w:val="99"/>
    <w:pPr>
      <w:widowControl w:val="0"/>
      <w:spacing w:after="160" w:line="278" w:lineRule="auto"/>
    </w:pPr>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97">
    <w:name w:val="Table Classic 3"/>
    <w:basedOn w:val="88"/>
    <w:semiHidden/>
    <w:unhideWhenUsed/>
    <w:qFormat/>
    <w:uiPriority w:val="99"/>
    <w:pPr>
      <w:widowControl w:val="0"/>
      <w:spacing w:after="160" w:line="278" w:lineRule="auto"/>
    </w:pPr>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98">
    <w:name w:val="Table Classic 4"/>
    <w:basedOn w:val="88"/>
    <w:semiHidden/>
    <w:unhideWhenUsed/>
    <w:qFormat/>
    <w:uiPriority w:val="99"/>
    <w:pPr>
      <w:widowControl w:val="0"/>
      <w:spacing w:after="160" w:line="278" w:lineRule="auto"/>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il"/>
          <w:tr2bl w:val="nil"/>
        </w:tcBorders>
        <w:shd w:val="pct50" w:color="000080" w:fill="FFFFFF"/>
      </w:tcPr>
    </w:tblStylePr>
    <w:tblStylePr w:type="lastRow">
      <w:rPr>
        <w:color w:val="000080"/>
      </w:rPr>
      <w:tblPr/>
      <w:tcPr>
        <w:tcBorders>
          <w:bottom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99">
    <w:name w:val="Table Simple 1"/>
    <w:basedOn w:val="88"/>
    <w:semiHidden/>
    <w:unhideWhenUsed/>
    <w:qFormat/>
    <w:uiPriority w:val="99"/>
    <w:pPr>
      <w:widowControl w:val="0"/>
      <w:spacing w:after="160" w:line="278" w:lineRule="auto"/>
    </w:p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100">
    <w:name w:val="Table Simple 2"/>
    <w:basedOn w:val="88"/>
    <w:semiHidden/>
    <w:unhideWhenUsed/>
    <w:qFormat/>
    <w:uiPriority w:val="99"/>
    <w:pPr>
      <w:widowControl w:val="0"/>
      <w:spacing w:after="160" w:line="278" w:lineRule="auto"/>
    </w:pPr>
    <w:tblPr/>
    <w:tblStylePr w:type="firstRow">
      <w:rPr>
        <w:b/>
        <w:bCs/>
      </w:rPr>
      <w:tblPr/>
      <w:tcPr>
        <w:tcBorders>
          <w:bottom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left w:val="single" w:color="000000" w:sz="6" w:space="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101">
    <w:name w:val="Table Simple 3"/>
    <w:basedOn w:val="88"/>
    <w:semiHidden/>
    <w:unhideWhenUsed/>
    <w:qFormat/>
    <w:uiPriority w:val="99"/>
    <w:pPr>
      <w:widowControl w:val="0"/>
      <w:spacing w:after="160" w:line="278" w:lineRule="auto"/>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102">
    <w:name w:val="Table Subtle 1"/>
    <w:basedOn w:val="88"/>
    <w:semiHidden/>
    <w:unhideWhenUsed/>
    <w:qFormat/>
    <w:uiPriority w:val="99"/>
    <w:pPr>
      <w:widowControl w:val="0"/>
      <w:spacing w:after="160" w:line="278" w:lineRule="auto"/>
    </w:pPr>
    <w:tblPr>
      <w:tblStyleRowBandSize w:val="1"/>
    </w:tblPr>
    <w:tblStylePr w:type="firstRow">
      <w:tblPr/>
      <w:tcPr>
        <w:tcBorders>
          <w:top w:val="single" w:color="000000" w:sz="6" w:space="0"/>
          <w:bottom w:val="single" w:color="000000" w:sz="12" w:space="0"/>
          <w:tl2br w:val="nil"/>
          <w:tr2bl w:val="nil"/>
        </w:tcBorders>
      </w:tcPr>
    </w:tblStylePr>
    <w:tblStylePr w:type="lastRow">
      <w:tblPr/>
      <w:tcPr>
        <w:tcBorders>
          <w:top w:val="single" w:color="000000" w:sz="12" w:space="0"/>
          <w:tl2br w:val="nil"/>
          <w:tr2bl w:val="nil"/>
        </w:tcBorders>
        <w:shd w:val="pct25" w:color="800080" w:fill="FFFFFF"/>
      </w:tcPr>
    </w:tblStylePr>
    <w:tblStylePr w:type="firstCol">
      <w:tblPr/>
      <w:tcPr>
        <w:tcBorders>
          <w:right w:val="single" w:color="000000" w:sz="12" w:space="0"/>
          <w:tl2br w:val="nil"/>
          <w:tr2bl w:val="nil"/>
        </w:tcBorders>
      </w:tcPr>
    </w:tblStylePr>
    <w:tblStylePr w:type="lastCol">
      <w:tblPr/>
      <w:tcPr>
        <w:tcBorders>
          <w:left w:val="single" w:color="000000" w:sz="12" w:space="0"/>
          <w:tl2br w:val="nil"/>
          <w:tr2bl w:val="nil"/>
        </w:tcBorders>
      </w:tcPr>
    </w:tblStylePr>
    <w:tblStylePr w:type="band1Horz">
      <w:tblPr/>
      <w:tcPr>
        <w:tcBorders>
          <w:bottom w:val="single" w:color="000000" w:sz="6"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3">
    <w:name w:val="Table Subtle 2"/>
    <w:basedOn w:val="88"/>
    <w:semiHidden/>
    <w:unhideWhenUsed/>
    <w:qFormat/>
    <w:uiPriority w:val="99"/>
    <w:pPr>
      <w:widowControl w:val="0"/>
      <w:spacing w:after="160" w:line="278" w:lineRule="auto"/>
    </w:pPr>
    <w:tblPr>
      <w:tblBorders>
        <w:left w:val="single" w:color="000000" w:sz="6" w:space="0"/>
        <w:right w:val="single" w:color="000000" w:sz="6" w:space="0"/>
      </w:tblBorders>
    </w:tblPr>
    <w:tblStylePr w:type="firstRow">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left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4">
    <w:name w:val="Table 3D effects 1"/>
    <w:basedOn w:val="88"/>
    <w:semiHidden/>
    <w:unhideWhenUsed/>
    <w:qFormat/>
    <w:uiPriority w:val="99"/>
    <w:pPr>
      <w:widowControl w:val="0"/>
      <w:spacing w:after="160" w:line="278" w:lineRule="auto"/>
    </w:pPr>
    <w:tblPr/>
    <w:tcPr>
      <w:shd w:val="solid" w:color="C0C0C0" w:fill="FFFFFF"/>
    </w:tcPr>
    <w:tblStylePr w:type="firstRow">
      <w:rPr>
        <w:b/>
        <w:bCs/>
        <w:color w:val="800080"/>
      </w:rPr>
      <w:tblPr/>
      <w:tcPr>
        <w:tcBorders>
          <w:bottom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left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105">
    <w:name w:val="Table 3D effects 2"/>
    <w:basedOn w:val="88"/>
    <w:semiHidden/>
    <w:unhideWhenUsed/>
    <w:qFormat/>
    <w:uiPriority w:val="99"/>
    <w:pPr>
      <w:widowControl w:val="0"/>
      <w:spacing w:after="160" w:line="278" w:lineRule="auto"/>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6">
    <w:name w:val="Table 3D effects 3"/>
    <w:basedOn w:val="88"/>
    <w:semiHidden/>
    <w:unhideWhenUsed/>
    <w:qFormat/>
    <w:uiPriority w:val="99"/>
    <w:pPr>
      <w:widowControl w:val="0"/>
      <w:spacing w:after="160" w:line="278" w:lineRule="auto"/>
    </w:p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7">
    <w:name w:val="Table List 1"/>
    <w:basedOn w:val="88"/>
    <w:semiHidden/>
    <w:unhideWhenUsed/>
    <w:qFormat/>
    <w:uiPriority w:val="99"/>
    <w:pPr>
      <w:widowControl w:val="0"/>
      <w:spacing w:after="160" w:line="278" w:lineRule="auto"/>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il"/>
          <w:tr2bl w:val="nil"/>
        </w:tcBorders>
        <w:shd w:val="solid" w:color="C0C0C0" w:fill="FFFFFF"/>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08">
    <w:name w:val="Table List 2"/>
    <w:basedOn w:val="88"/>
    <w:semiHidden/>
    <w:unhideWhenUsed/>
    <w:qFormat/>
    <w:uiPriority w:val="99"/>
    <w:pPr>
      <w:widowControl w:val="0"/>
      <w:spacing w:after="160" w:line="278" w:lineRule="auto"/>
    </w:pPr>
    <w:tblPr>
      <w:tblBorders>
        <w:bottom w:val="single" w:color="808080" w:sz="12" w:space="0"/>
      </w:tblBorders>
    </w:tblPr>
    <w:tblStylePr w:type="firstRow">
      <w:rPr>
        <w:b/>
        <w:bCs/>
        <w:color w:val="FFFFFF"/>
      </w:rPr>
      <w:tblPr/>
      <w:tcPr>
        <w:tcBorders>
          <w:bottom w:val="single" w:color="000000" w:sz="6" w:space="0"/>
          <w:tl2br w:val="nil"/>
          <w:tr2bl w:val="nil"/>
        </w:tcBorders>
        <w:shd w:val="pct75" w:color="008080" w:fill="008000"/>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09">
    <w:name w:val="Table List 3"/>
    <w:basedOn w:val="88"/>
    <w:semiHidden/>
    <w:unhideWhenUsed/>
    <w:qFormat/>
    <w:uiPriority w:val="99"/>
    <w:pPr>
      <w:widowControl w:val="0"/>
      <w:spacing w:after="160" w:line="278" w:lineRule="auto"/>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110">
    <w:name w:val="Table List 4"/>
    <w:basedOn w:val="88"/>
    <w:semiHidden/>
    <w:unhideWhenUsed/>
    <w:qFormat/>
    <w:uiPriority w:val="99"/>
    <w:pPr>
      <w:widowControl w:val="0"/>
      <w:spacing w:after="160" w:line="278" w:lineRule="auto"/>
    </w:p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il"/>
          <w:tr2bl w:val="nil"/>
        </w:tcBorders>
        <w:shd w:val="solid" w:color="808080" w:fill="FFFFFF"/>
      </w:tcPr>
    </w:tblStylePr>
  </w:style>
  <w:style w:type="table" w:styleId="111">
    <w:name w:val="Table List 5"/>
    <w:basedOn w:val="88"/>
    <w:semiHidden/>
    <w:unhideWhenUsed/>
    <w:qFormat/>
    <w:uiPriority w:val="99"/>
    <w:pPr>
      <w:widowControl w:val="0"/>
      <w:spacing w:after="160" w:line="278" w:lineRule="auto"/>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il"/>
          <w:tr2bl w:val="nil"/>
        </w:tcBorders>
      </w:tcPr>
    </w:tblStylePr>
    <w:tblStylePr w:type="firstCol">
      <w:rPr>
        <w:b/>
        <w:bCs/>
      </w:rPr>
      <w:tblPr/>
      <w:tcPr>
        <w:tcBorders>
          <w:tl2br w:val="nil"/>
          <w:tr2bl w:val="nil"/>
        </w:tcBorders>
      </w:tcPr>
    </w:tblStylePr>
  </w:style>
  <w:style w:type="table" w:styleId="112">
    <w:name w:val="Table List 6"/>
    <w:basedOn w:val="88"/>
    <w:semiHidden/>
    <w:unhideWhenUsed/>
    <w:qFormat/>
    <w:uiPriority w:val="99"/>
    <w:pPr>
      <w:widowControl w:val="0"/>
      <w:spacing w:after="160" w:line="278" w:lineRule="auto"/>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il"/>
          <w:tr2bl w:val="nil"/>
        </w:tcBorders>
      </w:tcPr>
    </w:tblStylePr>
    <w:tblStylePr w:type="firstCol">
      <w:rPr>
        <w:b/>
        <w:bCs/>
      </w:rPr>
      <w:tblPr/>
      <w:tcPr>
        <w:tcBorders>
          <w:right w:val="single" w:color="000000" w:sz="12" w:space="0"/>
          <w:tl2br w:val="nil"/>
          <w:tr2bl w:val="nil"/>
        </w:tcBorders>
      </w:tcPr>
    </w:tblStylePr>
    <w:tblStylePr w:type="band1Horz">
      <w:tblPr/>
      <w:tcPr>
        <w:tcBorders>
          <w:tl2br w:val="nil"/>
          <w:tr2bl w:val="nil"/>
        </w:tcBorders>
        <w:shd w:val="pct25" w:color="000000" w:fill="FFFFFF"/>
      </w:tcPr>
    </w:tblStylePr>
    <w:tblStylePr w:type="nwCell">
      <w:tblPr/>
      <w:tcPr>
        <w:tcBorders>
          <w:tl2br w:val="single" w:color="000000" w:sz="6" w:space="0"/>
          <w:tr2bl w:val="nil"/>
        </w:tcBorders>
      </w:tcPr>
    </w:tblStylePr>
  </w:style>
  <w:style w:type="table" w:styleId="113">
    <w:name w:val="Table List 7"/>
    <w:basedOn w:val="88"/>
    <w:semiHidden/>
    <w:unhideWhenUsed/>
    <w:qFormat/>
    <w:uiPriority w:val="99"/>
    <w:pPr>
      <w:widowControl w:val="0"/>
      <w:spacing w:after="160" w:line="278" w:lineRule="auto"/>
    </w:p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il"/>
          <w:tr2bl w:val="nil"/>
        </w:tcBorders>
        <w:shd w:val="solid" w:color="C0C0C0" w:fill="FFFFFF"/>
      </w:tcPr>
    </w:tblStylePr>
    <w:tblStylePr w:type="lastRow">
      <w:rPr>
        <w:b/>
        <w:bCs/>
      </w:rPr>
      <w:tblPr/>
      <w:tcPr>
        <w:tcBorders>
          <w:top w:val="single" w:color="008000" w:sz="12"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114">
    <w:name w:val="Table List 8"/>
    <w:basedOn w:val="88"/>
    <w:semiHidden/>
    <w:unhideWhenUsed/>
    <w:qFormat/>
    <w:uiPriority w:val="99"/>
    <w:pPr>
      <w:widowControl w:val="0"/>
      <w:spacing w:after="160" w:line="278" w:lineRule="auto"/>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il"/>
          <w:tr2bl w:val="nil"/>
        </w:tcBorders>
        <w:shd w:val="solid" w:color="FFFF00" w:fill="FFFFFF"/>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color="auto" w:sz="6" w:space="0"/>
          <w:tr2bl w:val="nil"/>
        </w:tcBorders>
      </w:tcPr>
    </w:tblStylePr>
  </w:style>
  <w:style w:type="table" w:styleId="115">
    <w:name w:val="Table Contemporary"/>
    <w:basedOn w:val="88"/>
    <w:semiHidden/>
    <w:unhideWhenUsed/>
    <w:qFormat/>
    <w:uiPriority w:val="99"/>
    <w:pPr>
      <w:widowControl w:val="0"/>
      <w:spacing w:after="160" w:line="278" w:lineRule="auto"/>
    </w:pPr>
    <w:tblPr>
      <w:tblBorders>
        <w:insideH w:val="single" w:color="FFFFFF" w:sz="18" w:space="0"/>
        <w:insideV w:val="single" w:color="FFFFFF" w:sz="18" w:space="0"/>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16">
    <w:name w:val="Table Columns 1"/>
    <w:basedOn w:val="88"/>
    <w:semiHidden/>
    <w:unhideWhenUsed/>
    <w:qFormat/>
    <w:uiPriority w:val="99"/>
    <w:pPr>
      <w:widowControl w:val="0"/>
      <w:spacing w:after="160" w:line="278" w:lineRule="auto"/>
    </w:pPr>
    <w:rPr>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7">
    <w:name w:val="Table Columns 2"/>
    <w:basedOn w:val="88"/>
    <w:semiHidden/>
    <w:unhideWhenUsed/>
    <w:qFormat/>
    <w:uiPriority w:val="99"/>
    <w:pPr>
      <w:widowControl w:val="0"/>
      <w:spacing w:after="160" w:line="278" w:lineRule="auto"/>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8">
    <w:name w:val="Table Columns 3"/>
    <w:basedOn w:val="88"/>
    <w:semiHidden/>
    <w:unhideWhenUsed/>
    <w:qFormat/>
    <w:uiPriority w:val="99"/>
    <w:pPr>
      <w:widowControl w:val="0"/>
      <w:spacing w:after="160" w:line="278" w:lineRule="auto"/>
    </w:pPr>
    <w:rPr>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color="00008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119">
    <w:name w:val="Table Columns 4"/>
    <w:basedOn w:val="88"/>
    <w:semiHidden/>
    <w:unhideWhenUsed/>
    <w:qFormat/>
    <w:uiPriority w:val="99"/>
    <w:pPr>
      <w:widowControl w:val="0"/>
      <w:spacing w:after="160" w:line="278" w:lineRule="auto"/>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20">
    <w:name w:val="Table Columns 5"/>
    <w:basedOn w:val="88"/>
    <w:semiHidden/>
    <w:unhideWhenUsed/>
    <w:qFormat/>
    <w:uiPriority w:val="99"/>
    <w:pPr>
      <w:widowControl w:val="0"/>
      <w:spacing w:after="160" w:line="278" w:lineRule="auto"/>
    </w:p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21">
    <w:name w:val="Table Grid 1"/>
    <w:basedOn w:val="88"/>
    <w:semiHidden/>
    <w:unhideWhenUsed/>
    <w:qFormat/>
    <w:uiPriority w:val="99"/>
    <w:pPr>
      <w:widowControl w:val="0"/>
      <w:spacing w:after="160" w:line="278" w:lineRule="auto"/>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122">
    <w:name w:val="Table Grid 2"/>
    <w:basedOn w:val="88"/>
    <w:semiHidden/>
    <w:unhideWhenUsed/>
    <w:qFormat/>
    <w:uiPriority w:val="99"/>
    <w:pPr>
      <w:widowControl w:val="0"/>
      <w:spacing w:after="160" w:line="278" w:lineRule="auto"/>
    </w:pPr>
    <w:tblPr>
      <w:tblBorders>
        <w:insideH w:val="single" w:color="000000" w:sz="6" w:space="0"/>
        <w:insideV w:val="single" w:color="000000" w:sz="6" w:space="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123">
    <w:name w:val="Table Grid 3"/>
    <w:basedOn w:val="88"/>
    <w:semiHidden/>
    <w:unhideWhenUsed/>
    <w:qFormat/>
    <w:uiPriority w:val="99"/>
    <w:pPr>
      <w:widowControl w:val="0"/>
      <w:spacing w:after="160" w:line="278" w:lineRule="auto"/>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4">
    <w:name w:val="Table Grid 4"/>
    <w:basedOn w:val="88"/>
    <w:semiHidden/>
    <w:unhideWhenUsed/>
    <w:qFormat/>
    <w:uiPriority w:val="99"/>
    <w:pPr>
      <w:widowControl w:val="0"/>
      <w:spacing w:after="160" w:line="278" w:lineRule="auto"/>
    </w:p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125">
    <w:name w:val="Table Grid 5"/>
    <w:basedOn w:val="88"/>
    <w:semiHidden/>
    <w:unhideWhenUsed/>
    <w:qFormat/>
    <w:uiPriority w:val="99"/>
    <w:pPr>
      <w:widowControl w:val="0"/>
      <w:spacing w:after="160" w:line="278" w:lineRule="auto"/>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6">
    <w:name w:val="Table Grid 6"/>
    <w:basedOn w:val="88"/>
    <w:semiHidden/>
    <w:unhideWhenUsed/>
    <w:qFormat/>
    <w:uiPriority w:val="99"/>
    <w:pPr>
      <w:widowControl w:val="0"/>
      <w:spacing w:after="160" w:line="278" w:lineRule="auto"/>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127">
    <w:name w:val="Table Grid 7"/>
    <w:basedOn w:val="88"/>
    <w:semiHidden/>
    <w:unhideWhenUsed/>
    <w:qFormat/>
    <w:uiPriority w:val="99"/>
    <w:pPr>
      <w:widowControl w:val="0"/>
      <w:spacing w:after="160" w:line="278" w:lineRule="auto"/>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128">
    <w:name w:val="Table Grid 8"/>
    <w:basedOn w:val="88"/>
    <w:semiHidden/>
    <w:unhideWhenUsed/>
    <w:qFormat/>
    <w:uiPriority w:val="99"/>
    <w:pPr>
      <w:widowControl w:val="0"/>
      <w:spacing w:after="160" w:line="278" w:lineRule="auto"/>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29">
    <w:name w:val="Table Web 1"/>
    <w:basedOn w:val="88"/>
    <w:semiHidden/>
    <w:unhideWhenUsed/>
    <w:qFormat/>
    <w:uiPriority w:val="99"/>
    <w:pPr>
      <w:widowControl w:val="0"/>
      <w:spacing w:after="160" w:line="278" w:lineRule="auto"/>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0">
    <w:name w:val="Table Web 2"/>
    <w:basedOn w:val="88"/>
    <w:semiHidden/>
    <w:unhideWhenUsed/>
    <w:qFormat/>
    <w:uiPriority w:val="99"/>
    <w:pPr>
      <w:widowControl w:val="0"/>
      <w:spacing w:after="160" w:line="278" w:lineRule="auto"/>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1">
    <w:name w:val="Table Web 3"/>
    <w:basedOn w:val="88"/>
    <w:semiHidden/>
    <w:unhideWhenUsed/>
    <w:qFormat/>
    <w:uiPriority w:val="99"/>
    <w:pPr>
      <w:widowControl w:val="0"/>
      <w:spacing w:after="160" w:line="278" w:lineRule="auto"/>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2">
    <w:name w:val="Table Professional"/>
    <w:basedOn w:val="88"/>
    <w:semiHidden/>
    <w:unhideWhenUsed/>
    <w:qFormat/>
    <w:uiPriority w:val="99"/>
    <w:pPr>
      <w:widowControl w:val="0"/>
      <w:spacing w:after="160" w:line="278" w:lineRule="auto"/>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133">
    <w:name w:val="Light Shading"/>
    <w:basedOn w:val="88"/>
    <w:semiHidden/>
    <w:unhideWhenUsed/>
    <w:qFormat/>
    <w:uiPriority w:val="60"/>
    <w:rPr>
      <w:color w:val="000000" w:themeColor="text1" w:themeShade="BF"/>
    </w:rPr>
    <w:tblPr>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table" w:styleId="134">
    <w:name w:val="Light Shading Accent 1"/>
    <w:basedOn w:val="88"/>
    <w:semiHidden/>
    <w:unhideWhenUsed/>
    <w:qFormat/>
    <w:uiPriority w:val="60"/>
    <w:rPr>
      <w:color w:val="104862" w:themeColor="accent1" w:themeShade="BF"/>
    </w:rPr>
    <w:tblPr>
      <w:tblBorders>
        <w:top w:val="single" w:color="156082" w:themeColor="accent1" w:sz="8" w:space="0"/>
        <w:bottom w:val="single" w:color="156082" w:themeColor="accent1" w:sz="8" w:space="0"/>
      </w:tblBorders>
    </w:tblPr>
    <w:tblStylePr w:type="firstRow">
      <w:pPr>
        <w:spacing w:before="0" w:after="0" w:line="240" w:lineRule="auto"/>
      </w:pPr>
      <w:rPr>
        <w:b/>
        <w:bCs/>
      </w:rPr>
      <w:tblPr/>
      <w:tcPr>
        <w:tcBorders>
          <w:top w:val="single" w:color="156082" w:themeColor="accent1" w:sz="8" w:space="0"/>
          <w:left w:val="nil"/>
          <w:bottom w:val="single" w:color="156082" w:themeColor="accent1" w:sz="8" w:space="0"/>
          <w:right w:val="nil"/>
          <w:insideH w:val="nil"/>
          <w:insideV w:val="nil"/>
        </w:tcBorders>
      </w:tcPr>
    </w:tblStylePr>
    <w:tblStylePr w:type="lastRow">
      <w:pPr>
        <w:spacing w:before="0" w:after="0" w:line="240" w:lineRule="auto"/>
      </w:pPr>
      <w:rPr>
        <w:b/>
        <w:bCs/>
      </w:rPr>
      <w:tblPr/>
      <w:tcPr>
        <w:tcBorders>
          <w:top w:val="single" w:color="156082" w:themeColor="accent1" w:sz="8" w:space="0"/>
          <w:left w:val="nil"/>
          <w:bottom w:val="single" w:color="156082"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135">
    <w:name w:val="Light Shading Accent 2"/>
    <w:basedOn w:val="88"/>
    <w:semiHidden/>
    <w:unhideWhenUsed/>
    <w:qFormat/>
    <w:uiPriority w:val="60"/>
    <w:rPr>
      <w:color w:val="C04F15" w:themeColor="accent2" w:themeShade="BF"/>
    </w:rPr>
    <w:tblPr>
      <w:tblBorders>
        <w:top w:val="single" w:color="E97132" w:themeColor="accent2" w:sz="8" w:space="0"/>
        <w:bottom w:val="single" w:color="E97132" w:themeColor="accent2" w:sz="8" w:space="0"/>
      </w:tblBorders>
    </w:tblPr>
    <w:tblStylePr w:type="firstRow">
      <w:pPr>
        <w:spacing w:before="0" w:after="0" w:line="240" w:lineRule="auto"/>
      </w:pPr>
      <w:rPr>
        <w:b/>
        <w:bCs/>
      </w:rPr>
      <w:tblPr/>
      <w:tcPr>
        <w:tcBorders>
          <w:top w:val="single" w:color="E97132" w:themeColor="accent2" w:sz="8" w:space="0"/>
          <w:left w:val="nil"/>
          <w:bottom w:val="single" w:color="E97132" w:themeColor="accent2" w:sz="8" w:space="0"/>
          <w:right w:val="nil"/>
          <w:insideH w:val="nil"/>
          <w:insideV w:val="nil"/>
        </w:tcBorders>
      </w:tcPr>
    </w:tblStylePr>
    <w:tblStylePr w:type="lastRow">
      <w:pPr>
        <w:spacing w:before="0" w:after="0" w:line="240" w:lineRule="auto"/>
      </w:pPr>
      <w:rPr>
        <w:b/>
        <w:bCs/>
      </w:rPr>
      <w:tblPr/>
      <w:tcPr>
        <w:tcBorders>
          <w:top w:val="single" w:color="E97132" w:themeColor="accent2" w:sz="8" w:space="0"/>
          <w:left w:val="nil"/>
          <w:bottom w:val="single" w:color="E97132"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136">
    <w:name w:val="Light Shading Accent 3"/>
    <w:basedOn w:val="88"/>
    <w:semiHidden/>
    <w:unhideWhenUsed/>
    <w:qFormat/>
    <w:uiPriority w:val="60"/>
    <w:rPr>
      <w:color w:val="13501B" w:themeColor="accent3" w:themeShade="BF"/>
    </w:rPr>
    <w:tblPr>
      <w:tblBorders>
        <w:top w:val="single" w:color="196B24" w:themeColor="accent3" w:sz="8" w:space="0"/>
        <w:bottom w:val="single" w:color="196B24" w:themeColor="accent3" w:sz="8" w:space="0"/>
      </w:tblBorders>
    </w:tblPr>
    <w:tblStylePr w:type="firstRow">
      <w:pPr>
        <w:spacing w:before="0" w:after="0" w:line="240" w:lineRule="auto"/>
      </w:pPr>
      <w:rPr>
        <w:b/>
        <w:bCs/>
      </w:rPr>
      <w:tblPr/>
      <w:tcPr>
        <w:tcBorders>
          <w:top w:val="single" w:color="196B24" w:themeColor="accent3" w:sz="8" w:space="0"/>
          <w:left w:val="nil"/>
          <w:bottom w:val="single" w:color="196B24" w:themeColor="accent3" w:sz="8" w:space="0"/>
          <w:right w:val="nil"/>
          <w:insideH w:val="nil"/>
          <w:insideV w:val="nil"/>
        </w:tcBorders>
      </w:tcPr>
    </w:tblStylePr>
    <w:tblStylePr w:type="lastRow">
      <w:pPr>
        <w:spacing w:before="0" w:after="0" w:line="240" w:lineRule="auto"/>
      </w:pPr>
      <w:rPr>
        <w:b/>
        <w:bCs/>
      </w:rPr>
      <w:tblPr/>
      <w:tcPr>
        <w:tcBorders>
          <w:top w:val="single" w:color="196B24" w:themeColor="accent3" w:sz="8" w:space="0"/>
          <w:left w:val="nil"/>
          <w:bottom w:val="single" w:color="196B24"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B" w:themeFill="accent3" w:themeFillTint="3F"/>
      </w:tcPr>
    </w:tblStylePr>
    <w:tblStylePr w:type="band1Horz">
      <w:tblPr/>
      <w:tcPr>
        <w:tcBorders>
          <w:left w:val="nil"/>
          <w:right w:val="nil"/>
          <w:insideH w:val="nil"/>
          <w:insideV w:val="nil"/>
        </w:tcBorders>
        <w:shd w:val="clear" w:color="auto" w:fill="B3EDBB" w:themeFill="accent3" w:themeFillTint="3F"/>
      </w:tcPr>
    </w:tblStylePr>
  </w:style>
  <w:style w:type="table" w:styleId="137">
    <w:name w:val="Light Shading Accent 4"/>
    <w:basedOn w:val="88"/>
    <w:semiHidden/>
    <w:unhideWhenUsed/>
    <w:qFormat/>
    <w:uiPriority w:val="60"/>
    <w:rPr>
      <w:color w:val="0B77A0" w:themeColor="accent4" w:themeShade="BF"/>
    </w:rPr>
    <w:tblPr>
      <w:tblBorders>
        <w:top w:val="single" w:color="0F9ED5" w:themeColor="accent4" w:sz="8" w:space="0"/>
        <w:bottom w:val="single" w:color="0F9ED5" w:themeColor="accent4" w:sz="8" w:space="0"/>
      </w:tblBorders>
    </w:tblPr>
    <w:tblStylePr w:type="firstRow">
      <w:pPr>
        <w:spacing w:before="0" w:after="0" w:line="240" w:lineRule="auto"/>
      </w:pPr>
      <w:rPr>
        <w:b/>
        <w:bCs/>
      </w:rPr>
      <w:tblPr/>
      <w:tcPr>
        <w:tcBorders>
          <w:top w:val="single" w:color="0F9ED5" w:themeColor="accent4" w:sz="8" w:space="0"/>
          <w:left w:val="nil"/>
          <w:bottom w:val="single" w:color="0F9ED5" w:themeColor="accent4" w:sz="8" w:space="0"/>
          <w:right w:val="nil"/>
          <w:insideH w:val="nil"/>
          <w:insideV w:val="nil"/>
        </w:tcBorders>
      </w:tcPr>
    </w:tblStylePr>
    <w:tblStylePr w:type="lastRow">
      <w:pPr>
        <w:spacing w:before="0" w:after="0" w:line="240" w:lineRule="auto"/>
      </w:pPr>
      <w:rPr>
        <w:b/>
        <w:bCs/>
      </w:rPr>
      <w:tblPr/>
      <w:tcPr>
        <w:tcBorders>
          <w:top w:val="single" w:color="0F9ED5" w:themeColor="accent4" w:sz="8" w:space="0"/>
          <w:left w:val="nil"/>
          <w:bottom w:val="single" w:color="0F9ED5"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138">
    <w:name w:val="Light Shading Accent 5"/>
    <w:basedOn w:val="88"/>
    <w:semiHidden/>
    <w:unhideWhenUsed/>
    <w:qFormat/>
    <w:uiPriority w:val="60"/>
    <w:rPr>
      <w:color w:val="78206E" w:themeColor="accent5" w:themeShade="BF"/>
    </w:rPr>
    <w:tblPr>
      <w:tblBorders>
        <w:top w:val="single" w:color="A02B93" w:themeColor="accent5" w:sz="8" w:space="0"/>
        <w:bottom w:val="single" w:color="A02B93" w:themeColor="accent5" w:sz="8" w:space="0"/>
      </w:tblBorders>
    </w:tblPr>
    <w:tblStylePr w:type="firstRow">
      <w:pPr>
        <w:spacing w:before="0" w:after="0" w:line="240" w:lineRule="auto"/>
      </w:pPr>
      <w:rPr>
        <w:b/>
        <w:bCs/>
      </w:rPr>
      <w:tblPr/>
      <w:tcPr>
        <w:tcBorders>
          <w:top w:val="single" w:color="A02B93" w:themeColor="accent5" w:sz="8" w:space="0"/>
          <w:left w:val="nil"/>
          <w:bottom w:val="single" w:color="A02B93" w:themeColor="accent5" w:sz="8" w:space="0"/>
          <w:right w:val="nil"/>
          <w:insideH w:val="nil"/>
          <w:insideV w:val="nil"/>
        </w:tcBorders>
      </w:tcPr>
    </w:tblStylePr>
    <w:tblStylePr w:type="lastRow">
      <w:pPr>
        <w:spacing w:before="0" w:after="0" w:line="240" w:lineRule="auto"/>
      </w:pPr>
      <w:rPr>
        <w:b/>
        <w:bCs/>
      </w:rPr>
      <w:tblPr/>
      <w:tcPr>
        <w:tcBorders>
          <w:top w:val="single" w:color="A02B93" w:themeColor="accent5" w:sz="8" w:space="0"/>
          <w:left w:val="nil"/>
          <w:bottom w:val="single" w:color="A02B93"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C3EA" w:themeFill="accent5" w:themeFillTint="3F"/>
      </w:tcPr>
    </w:tblStylePr>
    <w:tblStylePr w:type="band1Horz">
      <w:tblPr/>
      <w:tcPr>
        <w:tcBorders>
          <w:left w:val="nil"/>
          <w:right w:val="nil"/>
          <w:insideH w:val="nil"/>
          <w:insideV w:val="nil"/>
        </w:tcBorders>
        <w:shd w:val="clear" w:color="auto" w:fill="EEC3EA" w:themeFill="accent5" w:themeFillTint="3F"/>
      </w:tcPr>
    </w:tblStylePr>
  </w:style>
  <w:style w:type="table" w:styleId="139">
    <w:name w:val="Light Shading Accent 6"/>
    <w:basedOn w:val="88"/>
    <w:semiHidden/>
    <w:unhideWhenUsed/>
    <w:qFormat/>
    <w:uiPriority w:val="60"/>
    <w:rPr>
      <w:color w:val="3B7D23" w:themeColor="accent6" w:themeShade="BF"/>
    </w:rPr>
    <w:tblPr>
      <w:tblBorders>
        <w:top w:val="single" w:color="4EA72E" w:themeColor="accent6" w:sz="8" w:space="0"/>
        <w:bottom w:val="single" w:color="4EA72E" w:themeColor="accent6" w:sz="8" w:space="0"/>
      </w:tblBorders>
    </w:tblPr>
    <w:tblStylePr w:type="firstRow">
      <w:pPr>
        <w:spacing w:before="0" w:after="0" w:line="240" w:lineRule="auto"/>
      </w:pPr>
      <w:rPr>
        <w:b/>
        <w:bCs/>
      </w:rPr>
      <w:tblPr/>
      <w:tcPr>
        <w:tcBorders>
          <w:top w:val="single" w:color="4EA72E" w:themeColor="accent6" w:sz="8" w:space="0"/>
          <w:left w:val="nil"/>
          <w:bottom w:val="single" w:color="4EA72E" w:themeColor="accent6" w:sz="8" w:space="0"/>
          <w:right w:val="nil"/>
          <w:insideH w:val="nil"/>
          <w:insideV w:val="nil"/>
        </w:tcBorders>
      </w:tcPr>
    </w:tblStylePr>
    <w:tblStylePr w:type="lastRow">
      <w:pPr>
        <w:spacing w:before="0" w:after="0" w:line="240" w:lineRule="auto"/>
      </w:pPr>
      <w:rPr>
        <w:b/>
        <w:bCs/>
      </w:rPr>
      <w:tblPr/>
      <w:tcPr>
        <w:tcBorders>
          <w:top w:val="single" w:color="4EA72E" w:themeColor="accent6" w:sz="8" w:space="0"/>
          <w:left w:val="nil"/>
          <w:bottom w:val="single" w:color="4EA72E"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140">
    <w:name w:val="Light List"/>
    <w:basedOn w:val="88"/>
    <w:semiHidden/>
    <w:unhideWhenUsed/>
    <w:qFormat/>
    <w:uiPriority w:val="61"/>
    <w:tblPr>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141">
    <w:name w:val="Light List Accent 1"/>
    <w:basedOn w:val="88"/>
    <w:semiHidden/>
    <w:unhideWhenUsed/>
    <w:qFormat/>
    <w:uiPriority w:val="61"/>
    <w:tblPr>
      <w:tblBorders>
        <w:top w:val="single" w:color="156082" w:themeColor="accent1" w:sz="8" w:space="0"/>
        <w:left w:val="single" w:color="156082" w:themeColor="accent1" w:sz="8" w:space="0"/>
        <w:bottom w:val="single" w:color="156082" w:themeColor="accent1" w:sz="8" w:space="0"/>
        <w:right w:val="single" w:color="156082" w:themeColor="accent1"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156082" w:themeFill="accent1"/>
      </w:tcPr>
    </w:tblStylePr>
    <w:tblStylePr w:type="lastRow">
      <w:pPr>
        <w:spacing w:before="0" w:after="0" w:line="240" w:lineRule="auto"/>
      </w:pPr>
      <w:rPr>
        <w:b/>
        <w:bCs/>
      </w:rPr>
      <w:tblPr/>
      <w:tcPr>
        <w:tcBorders>
          <w:top w:val="double" w:color="156082" w:themeColor="accent1" w:sz="6" w:space="0"/>
          <w:left w:val="single" w:color="156082" w:themeColor="accent1" w:sz="8" w:space="0"/>
          <w:bottom w:val="single" w:color="156082" w:themeColor="accent1" w:sz="8" w:space="0"/>
          <w:right w:val="single" w:color="156082" w:themeColor="accent1" w:sz="8" w:space="0"/>
        </w:tcBorders>
      </w:tcPr>
    </w:tblStylePr>
    <w:tblStylePr w:type="firstCol">
      <w:rPr>
        <w:b/>
        <w:bCs/>
      </w:rPr>
    </w:tblStylePr>
    <w:tblStylePr w:type="lastCol">
      <w:rPr>
        <w:b/>
        <w:bCs/>
      </w:rPr>
    </w:tblStylePr>
    <w:tblStylePr w:type="band1Vert">
      <w:tblPr/>
      <w:tcPr>
        <w:tcBorders>
          <w:top w:val="single" w:color="156082" w:themeColor="accent1" w:sz="8" w:space="0"/>
          <w:left w:val="single" w:color="156082" w:themeColor="accent1" w:sz="8" w:space="0"/>
          <w:bottom w:val="single" w:color="156082" w:themeColor="accent1" w:sz="8" w:space="0"/>
          <w:right w:val="single" w:color="156082" w:themeColor="accent1" w:sz="8" w:space="0"/>
        </w:tcBorders>
      </w:tcPr>
    </w:tblStylePr>
    <w:tblStylePr w:type="band1Horz">
      <w:tblPr/>
      <w:tcPr>
        <w:tcBorders>
          <w:top w:val="single" w:color="156082" w:themeColor="accent1" w:sz="8" w:space="0"/>
          <w:left w:val="single" w:color="156082" w:themeColor="accent1" w:sz="8" w:space="0"/>
          <w:bottom w:val="single" w:color="156082" w:themeColor="accent1" w:sz="8" w:space="0"/>
          <w:right w:val="single" w:color="156082" w:themeColor="accent1" w:sz="8" w:space="0"/>
        </w:tcBorders>
      </w:tcPr>
    </w:tblStylePr>
  </w:style>
  <w:style w:type="table" w:styleId="142">
    <w:name w:val="Light List Accent 2"/>
    <w:basedOn w:val="88"/>
    <w:semiHidden/>
    <w:unhideWhenUsed/>
    <w:qFormat/>
    <w:uiPriority w:val="61"/>
    <w:tblPr>
      <w:tblBorders>
        <w:top w:val="single" w:color="E97132" w:themeColor="accent2" w:sz="8" w:space="0"/>
        <w:left w:val="single" w:color="E97132" w:themeColor="accent2" w:sz="8" w:space="0"/>
        <w:bottom w:val="single" w:color="E97132" w:themeColor="accent2" w:sz="8" w:space="0"/>
        <w:right w:val="single" w:color="E97132" w:themeColor="accent2"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E97132" w:themeFill="accent2"/>
      </w:tcPr>
    </w:tblStylePr>
    <w:tblStylePr w:type="lastRow">
      <w:pPr>
        <w:spacing w:before="0" w:after="0" w:line="240" w:lineRule="auto"/>
      </w:pPr>
      <w:rPr>
        <w:b/>
        <w:bCs/>
      </w:rPr>
      <w:tblPr/>
      <w:tcPr>
        <w:tcBorders>
          <w:top w:val="double" w:color="E97132" w:themeColor="accent2" w:sz="6" w:space="0"/>
          <w:left w:val="single" w:color="E97132" w:themeColor="accent2" w:sz="8" w:space="0"/>
          <w:bottom w:val="single" w:color="E97132" w:themeColor="accent2" w:sz="8" w:space="0"/>
          <w:right w:val="single" w:color="E97132" w:themeColor="accent2" w:sz="8" w:space="0"/>
        </w:tcBorders>
      </w:tcPr>
    </w:tblStylePr>
    <w:tblStylePr w:type="firstCol">
      <w:rPr>
        <w:b/>
        <w:bCs/>
      </w:rPr>
    </w:tblStylePr>
    <w:tblStylePr w:type="lastCol">
      <w:rPr>
        <w:b/>
        <w:bCs/>
      </w:rPr>
    </w:tblStylePr>
    <w:tblStylePr w:type="band1Vert">
      <w:tblPr/>
      <w:tcPr>
        <w:tcBorders>
          <w:top w:val="single" w:color="E97132" w:themeColor="accent2" w:sz="8" w:space="0"/>
          <w:left w:val="single" w:color="E97132" w:themeColor="accent2" w:sz="8" w:space="0"/>
          <w:bottom w:val="single" w:color="E97132" w:themeColor="accent2" w:sz="8" w:space="0"/>
          <w:right w:val="single" w:color="E97132" w:themeColor="accent2" w:sz="8" w:space="0"/>
        </w:tcBorders>
      </w:tcPr>
    </w:tblStylePr>
    <w:tblStylePr w:type="band1Horz">
      <w:tblPr/>
      <w:tcPr>
        <w:tcBorders>
          <w:top w:val="single" w:color="E97132" w:themeColor="accent2" w:sz="8" w:space="0"/>
          <w:left w:val="single" w:color="E97132" w:themeColor="accent2" w:sz="8" w:space="0"/>
          <w:bottom w:val="single" w:color="E97132" w:themeColor="accent2" w:sz="8" w:space="0"/>
          <w:right w:val="single" w:color="E97132" w:themeColor="accent2" w:sz="8" w:space="0"/>
        </w:tcBorders>
      </w:tcPr>
    </w:tblStylePr>
  </w:style>
  <w:style w:type="table" w:styleId="143">
    <w:name w:val="Light List Accent 3"/>
    <w:basedOn w:val="88"/>
    <w:semiHidden/>
    <w:unhideWhenUsed/>
    <w:qFormat/>
    <w:uiPriority w:val="61"/>
    <w:tblPr>
      <w:tblBorders>
        <w:top w:val="single" w:color="196B24" w:themeColor="accent3" w:sz="8" w:space="0"/>
        <w:left w:val="single" w:color="196B24" w:themeColor="accent3" w:sz="8" w:space="0"/>
        <w:bottom w:val="single" w:color="196B24" w:themeColor="accent3" w:sz="8" w:space="0"/>
        <w:right w:val="single" w:color="196B24" w:themeColor="accent3"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196B24" w:themeFill="accent3"/>
      </w:tcPr>
    </w:tblStylePr>
    <w:tblStylePr w:type="lastRow">
      <w:pPr>
        <w:spacing w:before="0" w:after="0" w:line="240" w:lineRule="auto"/>
      </w:pPr>
      <w:rPr>
        <w:b/>
        <w:bCs/>
      </w:rPr>
      <w:tblPr/>
      <w:tcPr>
        <w:tcBorders>
          <w:top w:val="double" w:color="196B24" w:themeColor="accent3" w:sz="6" w:space="0"/>
          <w:left w:val="single" w:color="196B24" w:themeColor="accent3" w:sz="8" w:space="0"/>
          <w:bottom w:val="single" w:color="196B24" w:themeColor="accent3" w:sz="8" w:space="0"/>
          <w:right w:val="single" w:color="196B24" w:themeColor="accent3" w:sz="8" w:space="0"/>
        </w:tcBorders>
      </w:tcPr>
    </w:tblStylePr>
    <w:tblStylePr w:type="firstCol">
      <w:rPr>
        <w:b/>
        <w:bCs/>
      </w:rPr>
    </w:tblStylePr>
    <w:tblStylePr w:type="lastCol">
      <w:rPr>
        <w:b/>
        <w:bCs/>
      </w:rPr>
    </w:tblStylePr>
    <w:tblStylePr w:type="band1Vert">
      <w:tblPr/>
      <w:tcPr>
        <w:tcBorders>
          <w:top w:val="single" w:color="196B24" w:themeColor="accent3" w:sz="8" w:space="0"/>
          <w:left w:val="single" w:color="196B24" w:themeColor="accent3" w:sz="8" w:space="0"/>
          <w:bottom w:val="single" w:color="196B24" w:themeColor="accent3" w:sz="8" w:space="0"/>
          <w:right w:val="single" w:color="196B24" w:themeColor="accent3" w:sz="8" w:space="0"/>
        </w:tcBorders>
      </w:tcPr>
    </w:tblStylePr>
    <w:tblStylePr w:type="band1Horz">
      <w:tblPr/>
      <w:tcPr>
        <w:tcBorders>
          <w:top w:val="single" w:color="196B24" w:themeColor="accent3" w:sz="8" w:space="0"/>
          <w:left w:val="single" w:color="196B24" w:themeColor="accent3" w:sz="8" w:space="0"/>
          <w:bottom w:val="single" w:color="196B24" w:themeColor="accent3" w:sz="8" w:space="0"/>
          <w:right w:val="single" w:color="196B24" w:themeColor="accent3" w:sz="8" w:space="0"/>
        </w:tcBorders>
      </w:tcPr>
    </w:tblStylePr>
  </w:style>
  <w:style w:type="table" w:styleId="144">
    <w:name w:val="Light List Accent 4"/>
    <w:basedOn w:val="88"/>
    <w:semiHidden/>
    <w:unhideWhenUsed/>
    <w:qFormat/>
    <w:uiPriority w:val="61"/>
    <w:tblPr>
      <w:tblBorders>
        <w:top w:val="single" w:color="0F9ED5" w:themeColor="accent4" w:sz="8" w:space="0"/>
        <w:left w:val="single" w:color="0F9ED5" w:themeColor="accent4" w:sz="8" w:space="0"/>
        <w:bottom w:val="single" w:color="0F9ED5" w:themeColor="accent4" w:sz="8" w:space="0"/>
        <w:right w:val="single" w:color="0F9ED5" w:themeColor="accent4"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0F9ED5" w:themeFill="accent4"/>
      </w:tcPr>
    </w:tblStylePr>
    <w:tblStylePr w:type="lastRow">
      <w:pPr>
        <w:spacing w:before="0" w:after="0" w:line="240" w:lineRule="auto"/>
      </w:pPr>
      <w:rPr>
        <w:b/>
        <w:bCs/>
      </w:rPr>
      <w:tblPr/>
      <w:tcPr>
        <w:tcBorders>
          <w:top w:val="double" w:color="0F9ED5" w:themeColor="accent4" w:sz="6" w:space="0"/>
          <w:left w:val="single" w:color="0F9ED5" w:themeColor="accent4" w:sz="8" w:space="0"/>
          <w:bottom w:val="single" w:color="0F9ED5" w:themeColor="accent4" w:sz="8" w:space="0"/>
          <w:right w:val="single" w:color="0F9ED5" w:themeColor="accent4" w:sz="8" w:space="0"/>
        </w:tcBorders>
      </w:tcPr>
    </w:tblStylePr>
    <w:tblStylePr w:type="firstCol">
      <w:rPr>
        <w:b/>
        <w:bCs/>
      </w:rPr>
    </w:tblStylePr>
    <w:tblStylePr w:type="lastCol">
      <w:rPr>
        <w:b/>
        <w:bCs/>
      </w:rPr>
    </w:tblStylePr>
    <w:tblStylePr w:type="band1Vert">
      <w:tblPr/>
      <w:tcPr>
        <w:tcBorders>
          <w:top w:val="single" w:color="0F9ED5" w:themeColor="accent4" w:sz="8" w:space="0"/>
          <w:left w:val="single" w:color="0F9ED5" w:themeColor="accent4" w:sz="8" w:space="0"/>
          <w:bottom w:val="single" w:color="0F9ED5" w:themeColor="accent4" w:sz="8" w:space="0"/>
          <w:right w:val="single" w:color="0F9ED5" w:themeColor="accent4" w:sz="8" w:space="0"/>
        </w:tcBorders>
      </w:tcPr>
    </w:tblStylePr>
    <w:tblStylePr w:type="band1Horz">
      <w:tblPr/>
      <w:tcPr>
        <w:tcBorders>
          <w:top w:val="single" w:color="0F9ED5" w:themeColor="accent4" w:sz="8" w:space="0"/>
          <w:left w:val="single" w:color="0F9ED5" w:themeColor="accent4" w:sz="8" w:space="0"/>
          <w:bottom w:val="single" w:color="0F9ED5" w:themeColor="accent4" w:sz="8" w:space="0"/>
          <w:right w:val="single" w:color="0F9ED5" w:themeColor="accent4" w:sz="8" w:space="0"/>
        </w:tcBorders>
      </w:tcPr>
    </w:tblStylePr>
  </w:style>
  <w:style w:type="table" w:styleId="145">
    <w:name w:val="Light List Accent 5"/>
    <w:basedOn w:val="88"/>
    <w:semiHidden/>
    <w:unhideWhenUsed/>
    <w:qFormat/>
    <w:uiPriority w:val="61"/>
    <w:tblPr>
      <w:tblBorders>
        <w:top w:val="single" w:color="A02B93" w:themeColor="accent5" w:sz="8" w:space="0"/>
        <w:left w:val="single" w:color="A02B93" w:themeColor="accent5" w:sz="8" w:space="0"/>
        <w:bottom w:val="single" w:color="A02B93" w:themeColor="accent5" w:sz="8" w:space="0"/>
        <w:right w:val="single" w:color="A02B93" w:themeColor="accent5"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A02B93" w:themeFill="accent5"/>
      </w:tcPr>
    </w:tblStylePr>
    <w:tblStylePr w:type="lastRow">
      <w:pPr>
        <w:spacing w:before="0" w:after="0" w:line="240" w:lineRule="auto"/>
      </w:pPr>
      <w:rPr>
        <w:b/>
        <w:bCs/>
      </w:rPr>
      <w:tblPr/>
      <w:tcPr>
        <w:tcBorders>
          <w:top w:val="double" w:color="A02B93" w:themeColor="accent5" w:sz="6" w:space="0"/>
          <w:left w:val="single" w:color="A02B93" w:themeColor="accent5" w:sz="8" w:space="0"/>
          <w:bottom w:val="single" w:color="A02B93" w:themeColor="accent5" w:sz="8" w:space="0"/>
          <w:right w:val="single" w:color="A02B93" w:themeColor="accent5" w:sz="8" w:space="0"/>
        </w:tcBorders>
      </w:tcPr>
    </w:tblStylePr>
    <w:tblStylePr w:type="firstCol">
      <w:rPr>
        <w:b/>
        <w:bCs/>
      </w:rPr>
    </w:tblStylePr>
    <w:tblStylePr w:type="lastCol">
      <w:rPr>
        <w:b/>
        <w:bCs/>
      </w:rPr>
    </w:tblStylePr>
    <w:tblStylePr w:type="band1Vert">
      <w:tblPr/>
      <w:tcPr>
        <w:tcBorders>
          <w:top w:val="single" w:color="A02B93" w:themeColor="accent5" w:sz="8" w:space="0"/>
          <w:left w:val="single" w:color="A02B93" w:themeColor="accent5" w:sz="8" w:space="0"/>
          <w:bottom w:val="single" w:color="A02B93" w:themeColor="accent5" w:sz="8" w:space="0"/>
          <w:right w:val="single" w:color="A02B93" w:themeColor="accent5" w:sz="8" w:space="0"/>
        </w:tcBorders>
      </w:tcPr>
    </w:tblStylePr>
    <w:tblStylePr w:type="band1Horz">
      <w:tblPr/>
      <w:tcPr>
        <w:tcBorders>
          <w:top w:val="single" w:color="A02B93" w:themeColor="accent5" w:sz="8" w:space="0"/>
          <w:left w:val="single" w:color="A02B93" w:themeColor="accent5" w:sz="8" w:space="0"/>
          <w:bottom w:val="single" w:color="A02B93" w:themeColor="accent5" w:sz="8" w:space="0"/>
          <w:right w:val="single" w:color="A02B93" w:themeColor="accent5" w:sz="8" w:space="0"/>
        </w:tcBorders>
      </w:tcPr>
    </w:tblStylePr>
  </w:style>
  <w:style w:type="table" w:styleId="146">
    <w:name w:val="Light List Accent 6"/>
    <w:basedOn w:val="88"/>
    <w:semiHidden/>
    <w:unhideWhenUsed/>
    <w:qFormat/>
    <w:uiPriority w:val="61"/>
    <w:tblPr>
      <w:tblBorders>
        <w:top w:val="single" w:color="4EA72E" w:themeColor="accent6" w:sz="8" w:space="0"/>
        <w:left w:val="single" w:color="4EA72E" w:themeColor="accent6" w:sz="8" w:space="0"/>
        <w:bottom w:val="single" w:color="4EA72E" w:themeColor="accent6" w:sz="8" w:space="0"/>
        <w:right w:val="single" w:color="4EA72E" w:themeColor="accent6"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4EA72E" w:themeFill="accent6"/>
      </w:tcPr>
    </w:tblStylePr>
    <w:tblStylePr w:type="lastRow">
      <w:pPr>
        <w:spacing w:before="0" w:after="0" w:line="240" w:lineRule="auto"/>
      </w:pPr>
      <w:rPr>
        <w:b/>
        <w:bCs/>
      </w:rPr>
      <w:tblPr/>
      <w:tcPr>
        <w:tcBorders>
          <w:top w:val="double" w:color="4EA72E" w:themeColor="accent6" w:sz="6" w:space="0"/>
          <w:left w:val="single" w:color="4EA72E" w:themeColor="accent6" w:sz="8" w:space="0"/>
          <w:bottom w:val="single" w:color="4EA72E" w:themeColor="accent6" w:sz="8" w:space="0"/>
          <w:right w:val="single" w:color="4EA72E" w:themeColor="accent6" w:sz="8" w:space="0"/>
        </w:tcBorders>
      </w:tcPr>
    </w:tblStylePr>
    <w:tblStylePr w:type="firstCol">
      <w:rPr>
        <w:b/>
        <w:bCs/>
      </w:rPr>
    </w:tblStylePr>
    <w:tblStylePr w:type="lastCol">
      <w:rPr>
        <w:b/>
        <w:bCs/>
      </w:rPr>
    </w:tblStylePr>
    <w:tblStylePr w:type="band1Vert">
      <w:tblPr/>
      <w:tcPr>
        <w:tcBorders>
          <w:top w:val="single" w:color="4EA72E" w:themeColor="accent6" w:sz="8" w:space="0"/>
          <w:left w:val="single" w:color="4EA72E" w:themeColor="accent6" w:sz="8" w:space="0"/>
          <w:bottom w:val="single" w:color="4EA72E" w:themeColor="accent6" w:sz="8" w:space="0"/>
          <w:right w:val="single" w:color="4EA72E" w:themeColor="accent6" w:sz="8" w:space="0"/>
        </w:tcBorders>
      </w:tcPr>
    </w:tblStylePr>
    <w:tblStylePr w:type="band1Horz">
      <w:tblPr/>
      <w:tcPr>
        <w:tcBorders>
          <w:top w:val="single" w:color="4EA72E" w:themeColor="accent6" w:sz="8" w:space="0"/>
          <w:left w:val="single" w:color="4EA72E" w:themeColor="accent6" w:sz="8" w:space="0"/>
          <w:bottom w:val="single" w:color="4EA72E" w:themeColor="accent6" w:sz="8" w:space="0"/>
          <w:right w:val="single" w:color="4EA72E" w:themeColor="accent6" w:sz="8" w:space="0"/>
        </w:tcBorders>
      </w:tcPr>
    </w:tblStylePr>
  </w:style>
  <w:style w:type="table" w:styleId="147">
    <w:name w:val="Light Grid"/>
    <w:basedOn w:val="88"/>
    <w:semiHidden/>
    <w:unhideWhenUsed/>
    <w:qFormat/>
    <w:uiPriority w:val="62"/>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styleId="148">
    <w:name w:val="Light Grid Accent 1"/>
    <w:basedOn w:val="88"/>
    <w:semiHidden/>
    <w:unhideWhenUsed/>
    <w:qFormat/>
    <w:uiPriority w:val="62"/>
    <w:tblPr>
      <w:tblBorders>
        <w:top w:val="single" w:color="156082" w:themeColor="accent1" w:sz="8" w:space="0"/>
        <w:left w:val="single" w:color="156082" w:themeColor="accent1" w:sz="8" w:space="0"/>
        <w:bottom w:val="single" w:color="156082" w:themeColor="accent1" w:sz="8" w:space="0"/>
        <w:right w:val="single" w:color="156082" w:themeColor="accent1" w:sz="8" w:space="0"/>
        <w:insideH w:val="single" w:color="156082" w:themeColor="accent1" w:sz="8" w:space="0"/>
        <w:insideV w:val="single" w:color="156082"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156082" w:themeColor="accent1" w:sz="8" w:space="0"/>
          <w:left w:val="single" w:color="156082" w:themeColor="accent1" w:sz="8" w:space="0"/>
          <w:bottom w:val="single" w:color="156082" w:themeColor="accent1" w:sz="18" w:space="0"/>
          <w:right w:val="single" w:color="156082" w:themeColor="accen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156082" w:themeColor="accent1" w:sz="6" w:space="0"/>
          <w:left w:val="single" w:color="156082" w:themeColor="accent1" w:sz="8" w:space="0"/>
          <w:bottom w:val="single" w:color="156082" w:themeColor="accent1" w:sz="8" w:space="0"/>
          <w:right w:val="single" w:color="156082" w:themeColor="accen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156082" w:themeColor="accent1" w:sz="8" w:space="0"/>
          <w:left w:val="single" w:color="156082" w:themeColor="accent1" w:sz="8" w:space="0"/>
          <w:bottom w:val="single" w:color="156082" w:themeColor="accent1" w:sz="8" w:space="0"/>
          <w:right w:val="single" w:color="156082" w:themeColor="accent1" w:sz="8" w:space="0"/>
        </w:tcBorders>
      </w:tcPr>
    </w:tblStylePr>
    <w:tblStylePr w:type="band1Vert">
      <w:tblPr/>
      <w:tcPr>
        <w:tcBorders>
          <w:top w:val="single" w:color="156082" w:themeColor="accent1" w:sz="8" w:space="0"/>
          <w:left w:val="single" w:color="156082" w:themeColor="accent1" w:sz="8" w:space="0"/>
          <w:bottom w:val="single" w:color="156082" w:themeColor="accent1" w:sz="8" w:space="0"/>
          <w:right w:val="single" w:color="156082" w:themeColor="accent1" w:sz="8" w:space="0"/>
        </w:tcBorders>
        <w:shd w:val="clear" w:color="auto" w:fill="B2DEF2" w:themeFill="accent1" w:themeFillTint="3F"/>
      </w:tcPr>
    </w:tblStylePr>
    <w:tblStylePr w:type="band1Horz">
      <w:tblPr/>
      <w:tcPr>
        <w:tcBorders>
          <w:top w:val="single" w:color="156082" w:themeColor="accent1" w:sz="8" w:space="0"/>
          <w:left w:val="single" w:color="156082" w:themeColor="accent1" w:sz="8" w:space="0"/>
          <w:bottom w:val="single" w:color="156082" w:themeColor="accent1" w:sz="8" w:space="0"/>
          <w:right w:val="single" w:color="156082" w:themeColor="accent1" w:sz="8" w:space="0"/>
          <w:insideV w:val="single" w:sz="8" w:space="0"/>
        </w:tcBorders>
        <w:shd w:val="clear" w:color="auto" w:fill="B2DEF2" w:themeFill="accent1" w:themeFillTint="3F"/>
      </w:tcPr>
    </w:tblStylePr>
    <w:tblStylePr w:type="band2Horz">
      <w:tblPr/>
      <w:tcPr>
        <w:tcBorders>
          <w:top w:val="single" w:color="156082" w:themeColor="accent1" w:sz="8" w:space="0"/>
          <w:left w:val="single" w:color="156082" w:themeColor="accent1" w:sz="8" w:space="0"/>
          <w:bottom w:val="single" w:color="156082" w:themeColor="accent1" w:sz="8" w:space="0"/>
          <w:right w:val="single" w:color="156082" w:themeColor="accent1" w:sz="8" w:space="0"/>
          <w:insideV w:val="single" w:sz="8" w:space="0"/>
        </w:tcBorders>
      </w:tcPr>
    </w:tblStylePr>
  </w:style>
  <w:style w:type="table" w:styleId="149">
    <w:name w:val="Light Grid Accent 2"/>
    <w:basedOn w:val="88"/>
    <w:semiHidden/>
    <w:unhideWhenUsed/>
    <w:qFormat/>
    <w:uiPriority w:val="62"/>
    <w:tblPr>
      <w:tblBorders>
        <w:top w:val="single" w:color="E97132" w:themeColor="accent2" w:sz="8" w:space="0"/>
        <w:left w:val="single" w:color="E97132" w:themeColor="accent2" w:sz="8" w:space="0"/>
        <w:bottom w:val="single" w:color="E97132" w:themeColor="accent2" w:sz="8" w:space="0"/>
        <w:right w:val="single" w:color="E97132" w:themeColor="accent2" w:sz="8" w:space="0"/>
        <w:insideH w:val="single" w:color="E97132" w:themeColor="accent2" w:sz="8" w:space="0"/>
        <w:insideV w:val="single" w:color="E97132"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E97132" w:themeColor="accent2" w:sz="8" w:space="0"/>
          <w:left w:val="single" w:color="E97132" w:themeColor="accent2" w:sz="8" w:space="0"/>
          <w:bottom w:val="single" w:color="E97132" w:themeColor="accent2" w:sz="18" w:space="0"/>
          <w:right w:val="single" w:color="E97132" w:themeColor="accent2"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E97132" w:themeColor="accent2" w:sz="6" w:space="0"/>
          <w:left w:val="single" w:color="E97132" w:themeColor="accent2" w:sz="8" w:space="0"/>
          <w:bottom w:val="single" w:color="E97132" w:themeColor="accent2" w:sz="8" w:space="0"/>
          <w:right w:val="single" w:color="E97132" w:themeColor="accent2"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E97132" w:themeColor="accent2" w:sz="8" w:space="0"/>
          <w:left w:val="single" w:color="E97132" w:themeColor="accent2" w:sz="8" w:space="0"/>
          <w:bottom w:val="single" w:color="E97132" w:themeColor="accent2" w:sz="8" w:space="0"/>
          <w:right w:val="single" w:color="E97132" w:themeColor="accent2" w:sz="8" w:space="0"/>
        </w:tcBorders>
      </w:tcPr>
    </w:tblStylePr>
    <w:tblStylePr w:type="band1Vert">
      <w:tblPr/>
      <w:tcPr>
        <w:tcBorders>
          <w:top w:val="single" w:color="E97132" w:themeColor="accent2" w:sz="8" w:space="0"/>
          <w:left w:val="single" w:color="E97132" w:themeColor="accent2" w:sz="8" w:space="0"/>
          <w:bottom w:val="single" w:color="E97132" w:themeColor="accent2" w:sz="8" w:space="0"/>
          <w:right w:val="single" w:color="E97132" w:themeColor="accent2" w:sz="8" w:space="0"/>
        </w:tcBorders>
        <w:shd w:val="clear" w:color="auto" w:fill="F9DBCC" w:themeFill="accent2" w:themeFillTint="3F"/>
      </w:tcPr>
    </w:tblStylePr>
    <w:tblStylePr w:type="band1Horz">
      <w:tblPr/>
      <w:tcPr>
        <w:tcBorders>
          <w:top w:val="single" w:color="E97132" w:themeColor="accent2" w:sz="8" w:space="0"/>
          <w:left w:val="single" w:color="E97132" w:themeColor="accent2" w:sz="8" w:space="0"/>
          <w:bottom w:val="single" w:color="E97132" w:themeColor="accent2" w:sz="8" w:space="0"/>
          <w:right w:val="single" w:color="E97132" w:themeColor="accent2" w:sz="8" w:space="0"/>
          <w:insideV w:val="single" w:sz="8" w:space="0"/>
        </w:tcBorders>
        <w:shd w:val="clear" w:color="auto" w:fill="F9DBCC" w:themeFill="accent2" w:themeFillTint="3F"/>
      </w:tcPr>
    </w:tblStylePr>
    <w:tblStylePr w:type="band2Horz">
      <w:tblPr/>
      <w:tcPr>
        <w:tcBorders>
          <w:top w:val="single" w:color="E97132" w:themeColor="accent2" w:sz="8" w:space="0"/>
          <w:left w:val="single" w:color="E97132" w:themeColor="accent2" w:sz="8" w:space="0"/>
          <w:bottom w:val="single" w:color="E97132" w:themeColor="accent2" w:sz="8" w:space="0"/>
          <w:right w:val="single" w:color="E97132" w:themeColor="accent2" w:sz="8" w:space="0"/>
          <w:insideV w:val="single" w:sz="8" w:space="0"/>
        </w:tcBorders>
      </w:tcPr>
    </w:tblStylePr>
  </w:style>
  <w:style w:type="table" w:styleId="150">
    <w:name w:val="Light Grid Accent 3"/>
    <w:basedOn w:val="88"/>
    <w:semiHidden/>
    <w:unhideWhenUsed/>
    <w:qFormat/>
    <w:uiPriority w:val="62"/>
    <w:tblPr>
      <w:tblBorders>
        <w:top w:val="single" w:color="196B24" w:themeColor="accent3" w:sz="8" w:space="0"/>
        <w:left w:val="single" w:color="196B24" w:themeColor="accent3" w:sz="8" w:space="0"/>
        <w:bottom w:val="single" w:color="196B24" w:themeColor="accent3" w:sz="8" w:space="0"/>
        <w:right w:val="single" w:color="196B24" w:themeColor="accent3" w:sz="8" w:space="0"/>
        <w:insideH w:val="single" w:color="196B24" w:themeColor="accent3" w:sz="8" w:space="0"/>
        <w:insideV w:val="single" w:color="196B24"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196B24" w:themeColor="accent3" w:sz="8" w:space="0"/>
          <w:left w:val="single" w:color="196B24" w:themeColor="accent3" w:sz="8" w:space="0"/>
          <w:bottom w:val="single" w:color="196B24" w:themeColor="accent3" w:sz="18" w:space="0"/>
          <w:right w:val="single" w:color="196B24"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196B24" w:themeColor="accent3" w:sz="6" w:space="0"/>
          <w:left w:val="single" w:color="196B24" w:themeColor="accent3" w:sz="8" w:space="0"/>
          <w:bottom w:val="single" w:color="196B24" w:themeColor="accent3" w:sz="8" w:space="0"/>
          <w:right w:val="single" w:color="196B24"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196B24" w:themeColor="accent3" w:sz="8" w:space="0"/>
          <w:left w:val="single" w:color="196B24" w:themeColor="accent3" w:sz="8" w:space="0"/>
          <w:bottom w:val="single" w:color="196B24" w:themeColor="accent3" w:sz="8" w:space="0"/>
          <w:right w:val="single" w:color="196B24" w:themeColor="accent3" w:sz="8" w:space="0"/>
        </w:tcBorders>
      </w:tcPr>
    </w:tblStylePr>
    <w:tblStylePr w:type="band1Vert">
      <w:tblPr/>
      <w:tcPr>
        <w:tcBorders>
          <w:top w:val="single" w:color="196B24" w:themeColor="accent3" w:sz="8" w:space="0"/>
          <w:left w:val="single" w:color="196B24" w:themeColor="accent3" w:sz="8" w:space="0"/>
          <w:bottom w:val="single" w:color="196B24" w:themeColor="accent3" w:sz="8" w:space="0"/>
          <w:right w:val="single" w:color="196B24" w:themeColor="accent3" w:sz="8" w:space="0"/>
        </w:tcBorders>
        <w:shd w:val="clear" w:color="auto" w:fill="B3EDBB" w:themeFill="accent3" w:themeFillTint="3F"/>
      </w:tcPr>
    </w:tblStylePr>
    <w:tblStylePr w:type="band1Horz">
      <w:tblPr/>
      <w:tcPr>
        <w:tcBorders>
          <w:top w:val="single" w:color="196B24" w:themeColor="accent3" w:sz="8" w:space="0"/>
          <w:left w:val="single" w:color="196B24" w:themeColor="accent3" w:sz="8" w:space="0"/>
          <w:bottom w:val="single" w:color="196B24" w:themeColor="accent3" w:sz="8" w:space="0"/>
          <w:right w:val="single" w:color="196B24" w:themeColor="accent3" w:sz="8" w:space="0"/>
          <w:insideV w:val="single" w:sz="8" w:space="0"/>
        </w:tcBorders>
        <w:shd w:val="clear" w:color="auto" w:fill="B3EDBB" w:themeFill="accent3" w:themeFillTint="3F"/>
      </w:tcPr>
    </w:tblStylePr>
    <w:tblStylePr w:type="band2Horz">
      <w:tblPr/>
      <w:tcPr>
        <w:tcBorders>
          <w:top w:val="single" w:color="196B24" w:themeColor="accent3" w:sz="8" w:space="0"/>
          <w:left w:val="single" w:color="196B24" w:themeColor="accent3" w:sz="8" w:space="0"/>
          <w:bottom w:val="single" w:color="196B24" w:themeColor="accent3" w:sz="8" w:space="0"/>
          <w:right w:val="single" w:color="196B24" w:themeColor="accent3" w:sz="8" w:space="0"/>
          <w:insideV w:val="single" w:sz="8" w:space="0"/>
        </w:tcBorders>
      </w:tcPr>
    </w:tblStylePr>
  </w:style>
  <w:style w:type="table" w:styleId="151">
    <w:name w:val="Light Grid Accent 4"/>
    <w:basedOn w:val="88"/>
    <w:semiHidden/>
    <w:unhideWhenUsed/>
    <w:qFormat/>
    <w:uiPriority w:val="62"/>
    <w:tblPr>
      <w:tblBorders>
        <w:top w:val="single" w:color="0F9ED5" w:themeColor="accent4" w:sz="8" w:space="0"/>
        <w:left w:val="single" w:color="0F9ED5" w:themeColor="accent4" w:sz="8" w:space="0"/>
        <w:bottom w:val="single" w:color="0F9ED5" w:themeColor="accent4" w:sz="8" w:space="0"/>
        <w:right w:val="single" w:color="0F9ED5" w:themeColor="accent4" w:sz="8" w:space="0"/>
        <w:insideH w:val="single" w:color="0F9ED5" w:themeColor="accent4" w:sz="8" w:space="0"/>
        <w:insideV w:val="single" w:color="0F9ED5"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F9ED5" w:themeColor="accent4" w:sz="8" w:space="0"/>
          <w:left w:val="single" w:color="0F9ED5" w:themeColor="accent4" w:sz="8" w:space="0"/>
          <w:bottom w:val="single" w:color="0F9ED5" w:themeColor="accent4" w:sz="18" w:space="0"/>
          <w:right w:val="single" w:color="0F9ED5" w:themeColor="accent4"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F9ED5" w:themeColor="accent4" w:sz="6" w:space="0"/>
          <w:left w:val="single" w:color="0F9ED5" w:themeColor="accent4" w:sz="8" w:space="0"/>
          <w:bottom w:val="single" w:color="0F9ED5" w:themeColor="accent4" w:sz="8" w:space="0"/>
          <w:right w:val="single" w:color="0F9ED5" w:themeColor="accent4"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F9ED5" w:themeColor="accent4" w:sz="8" w:space="0"/>
          <w:left w:val="single" w:color="0F9ED5" w:themeColor="accent4" w:sz="8" w:space="0"/>
          <w:bottom w:val="single" w:color="0F9ED5" w:themeColor="accent4" w:sz="8" w:space="0"/>
          <w:right w:val="single" w:color="0F9ED5" w:themeColor="accent4" w:sz="8" w:space="0"/>
        </w:tcBorders>
      </w:tcPr>
    </w:tblStylePr>
    <w:tblStylePr w:type="band1Vert">
      <w:tblPr/>
      <w:tcPr>
        <w:tcBorders>
          <w:top w:val="single" w:color="0F9ED5" w:themeColor="accent4" w:sz="8" w:space="0"/>
          <w:left w:val="single" w:color="0F9ED5" w:themeColor="accent4" w:sz="8" w:space="0"/>
          <w:bottom w:val="single" w:color="0F9ED5" w:themeColor="accent4" w:sz="8" w:space="0"/>
          <w:right w:val="single" w:color="0F9ED5" w:themeColor="accent4" w:sz="8" w:space="0"/>
        </w:tcBorders>
        <w:shd w:val="clear" w:color="auto" w:fill="BDE9FA" w:themeFill="accent4" w:themeFillTint="3F"/>
      </w:tcPr>
    </w:tblStylePr>
    <w:tblStylePr w:type="band1Horz">
      <w:tblPr/>
      <w:tcPr>
        <w:tcBorders>
          <w:top w:val="single" w:color="0F9ED5" w:themeColor="accent4" w:sz="8" w:space="0"/>
          <w:left w:val="single" w:color="0F9ED5" w:themeColor="accent4" w:sz="8" w:space="0"/>
          <w:bottom w:val="single" w:color="0F9ED5" w:themeColor="accent4" w:sz="8" w:space="0"/>
          <w:right w:val="single" w:color="0F9ED5" w:themeColor="accent4" w:sz="8" w:space="0"/>
          <w:insideV w:val="single" w:sz="8" w:space="0"/>
        </w:tcBorders>
        <w:shd w:val="clear" w:color="auto" w:fill="BDE9FA" w:themeFill="accent4" w:themeFillTint="3F"/>
      </w:tcPr>
    </w:tblStylePr>
    <w:tblStylePr w:type="band2Horz">
      <w:tblPr/>
      <w:tcPr>
        <w:tcBorders>
          <w:top w:val="single" w:color="0F9ED5" w:themeColor="accent4" w:sz="8" w:space="0"/>
          <w:left w:val="single" w:color="0F9ED5" w:themeColor="accent4" w:sz="8" w:space="0"/>
          <w:bottom w:val="single" w:color="0F9ED5" w:themeColor="accent4" w:sz="8" w:space="0"/>
          <w:right w:val="single" w:color="0F9ED5" w:themeColor="accent4" w:sz="8" w:space="0"/>
          <w:insideV w:val="single" w:sz="8" w:space="0"/>
        </w:tcBorders>
      </w:tcPr>
    </w:tblStylePr>
  </w:style>
  <w:style w:type="table" w:styleId="152">
    <w:name w:val="Light Grid Accent 5"/>
    <w:basedOn w:val="88"/>
    <w:semiHidden/>
    <w:unhideWhenUsed/>
    <w:qFormat/>
    <w:uiPriority w:val="62"/>
    <w:tblPr>
      <w:tblBorders>
        <w:top w:val="single" w:color="A02B93" w:themeColor="accent5" w:sz="8" w:space="0"/>
        <w:left w:val="single" w:color="A02B93" w:themeColor="accent5" w:sz="8" w:space="0"/>
        <w:bottom w:val="single" w:color="A02B93" w:themeColor="accent5" w:sz="8" w:space="0"/>
        <w:right w:val="single" w:color="A02B93" w:themeColor="accent5" w:sz="8" w:space="0"/>
        <w:insideH w:val="single" w:color="A02B93" w:themeColor="accent5" w:sz="8" w:space="0"/>
        <w:insideV w:val="single" w:color="A02B93"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A02B93" w:themeColor="accent5" w:sz="8" w:space="0"/>
          <w:left w:val="single" w:color="A02B93" w:themeColor="accent5" w:sz="8" w:space="0"/>
          <w:bottom w:val="single" w:color="A02B93" w:themeColor="accent5" w:sz="18" w:space="0"/>
          <w:right w:val="single" w:color="A02B93"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A02B93" w:themeColor="accent5" w:sz="6" w:space="0"/>
          <w:left w:val="single" w:color="A02B93" w:themeColor="accent5" w:sz="8" w:space="0"/>
          <w:bottom w:val="single" w:color="A02B93" w:themeColor="accent5" w:sz="8" w:space="0"/>
          <w:right w:val="single" w:color="A02B93"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A02B93" w:themeColor="accent5" w:sz="8" w:space="0"/>
          <w:left w:val="single" w:color="A02B93" w:themeColor="accent5" w:sz="8" w:space="0"/>
          <w:bottom w:val="single" w:color="A02B93" w:themeColor="accent5" w:sz="8" w:space="0"/>
          <w:right w:val="single" w:color="A02B93" w:themeColor="accent5" w:sz="8" w:space="0"/>
        </w:tcBorders>
      </w:tcPr>
    </w:tblStylePr>
    <w:tblStylePr w:type="band1Vert">
      <w:tblPr/>
      <w:tcPr>
        <w:tcBorders>
          <w:top w:val="single" w:color="A02B93" w:themeColor="accent5" w:sz="8" w:space="0"/>
          <w:left w:val="single" w:color="A02B93" w:themeColor="accent5" w:sz="8" w:space="0"/>
          <w:bottom w:val="single" w:color="A02B93" w:themeColor="accent5" w:sz="8" w:space="0"/>
          <w:right w:val="single" w:color="A02B93" w:themeColor="accent5" w:sz="8" w:space="0"/>
        </w:tcBorders>
        <w:shd w:val="clear" w:color="auto" w:fill="EEC3EA" w:themeFill="accent5" w:themeFillTint="3F"/>
      </w:tcPr>
    </w:tblStylePr>
    <w:tblStylePr w:type="band1Horz">
      <w:tblPr/>
      <w:tcPr>
        <w:tcBorders>
          <w:top w:val="single" w:color="A02B93" w:themeColor="accent5" w:sz="8" w:space="0"/>
          <w:left w:val="single" w:color="A02B93" w:themeColor="accent5" w:sz="8" w:space="0"/>
          <w:bottom w:val="single" w:color="A02B93" w:themeColor="accent5" w:sz="8" w:space="0"/>
          <w:right w:val="single" w:color="A02B93" w:themeColor="accent5" w:sz="8" w:space="0"/>
          <w:insideV w:val="single" w:sz="8" w:space="0"/>
        </w:tcBorders>
        <w:shd w:val="clear" w:color="auto" w:fill="EEC3EA" w:themeFill="accent5" w:themeFillTint="3F"/>
      </w:tcPr>
    </w:tblStylePr>
    <w:tblStylePr w:type="band2Horz">
      <w:tblPr/>
      <w:tcPr>
        <w:tcBorders>
          <w:top w:val="single" w:color="A02B93" w:themeColor="accent5" w:sz="8" w:space="0"/>
          <w:left w:val="single" w:color="A02B93" w:themeColor="accent5" w:sz="8" w:space="0"/>
          <w:bottom w:val="single" w:color="A02B93" w:themeColor="accent5" w:sz="8" w:space="0"/>
          <w:right w:val="single" w:color="A02B93" w:themeColor="accent5" w:sz="8" w:space="0"/>
          <w:insideV w:val="single" w:sz="8" w:space="0"/>
        </w:tcBorders>
      </w:tcPr>
    </w:tblStylePr>
  </w:style>
  <w:style w:type="table" w:styleId="153">
    <w:name w:val="Light Grid Accent 6"/>
    <w:basedOn w:val="88"/>
    <w:semiHidden/>
    <w:unhideWhenUsed/>
    <w:qFormat/>
    <w:uiPriority w:val="62"/>
    <w:tblPr>
      <w:tblBorders>
        <w:top w:val="single" w:color="4EA72E" w:themeColor="accent6" w:sz="8" w:space="0"/>
        <w:left w:val="single" w:color="4EA72E" w:themeColor="accent6" w:sz="8" w:space="0"/>
        <w:bottom w:val="single" w:color="4EA72E" w:themeColor="accent6" w:sz="8" w:space="0"/>
        <w:right w:val="single" w:color="4EA72E" w:themeColor="accent6" w:sz="8" w:space="0"/>
        <w:insideH w:val="single" w:color="4EA72E" w:themeColor="accent6" w:sz="8" w:space="0"/>
        <w:insideV w:val="single" w:color="4EA72E"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EA72E" w:themeColor="accent6" w:sz="8" w:space="0"/>
          <w:left w:val="single" w:color="4EA72E" w:themeColor="accent6" w:sz="8" w:space="0"/>
          <w:bottom w:val="single" w:color="4EA72E" w:themeColor="accent6" w:sz="18" w:space="0"/>
          <w:right w:val="single" w:color="4EA72E" w:themeColor="accent6"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EA72E" w:themeColor="accent6" w:sz="6" w:space="0"/>
          <w:left w:val="single" w:color="4EA72E" w:themeColor="accent6" w:sz="8" w:space="0"/>
          <w:bottom w:val="single" w:color="4EA72E" w:themeColor="accent6" w:sz="8" w:space="0"/>
          <w:right w:val="single" w:color="4EA72E" w:themeColor="accent6"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EA72E" w:themeColor="accent6" w:sz="8" w:space="0"/>
          <w:left w:val="single" w:color="4EA72E" w:themeColor="accent6" w:sz="8" w:space="0"/>
          <w:bottom w:val="single" w:color="4EA72E" w:themeColor="accent6" w:sz="8" w:space="0"/>
          <w:right w:val="single" w:color="4EA72E" w:themeColor="accent6" w:sz="8" w:space="0"/>
        </w:tcBorders>
      </w:tcPr>
    </w:tblStylePr>
    <w:tblStylePr w:type="band1Vert">
      <w:tblPr/>
      <w:tcPr>
        <w:tcBorders>
          <w:top w:val="single" w:color="4EA72E" w:themeColor="accent6" w:sz="8" w:space="0"/>
          <w:left w:val="single" w:color="4EA72E" w:themeColor="accent6" w:sz="8" w:space="0"/>
          <w:bottom w:val="single" w:color="4EA72E" w:themeColor="accent6" w:sz="8" w:space="0"/>
          <w:right w:val="single" w:color="4EA72E" w:themeColor="accent6" w:sz="8" w:space="0"/>
        </w:tcBorders>
        <w:shd w:val="clear" w:color="auto" w:fill="D0EFC5" w:themeFill="accent6" w:themeFillTint="3F"/>
      </w:tcPr>
    </w:tblStylePr>
    <w:tblStylePr w:type="band1Horz">
      <w:tblPr/>
      <w:tcPr>
        <w:tcBorders>
          <w:top w:val="single" w:color="4EA72E" w:themeColor="accent6" w:sz="8" w:space="0"/>
          <w:left w:val="single" w:color="4EA72E" w:themeColor="accent6" w:sz="8" w:space="0"/>
          <w:bottom w:val="single" w:color="4EA72E" w:themeColor="accent6" w:sz="8" w:space="0"/>
          <w:right w:val="single" w:color="4EA72E" w:themeColor="accent6" w:sz="8" w:space="0"/>
          <w:insideV w:val="single" w:sz="8" w:space="0"/>
        </w:tcBorders>
        <w:shd w:val="clear" w:color="auto" w:fill="D0EFC5" w:themeFill="accent6" w:themeFillTint="3F"/>
      </w:tcPr>
    </w:tblStylePr>
    <w:tblStylePr w:type="band2Horz">
      <w:tblPr/>
      <w:tcPr>
        <w:tcBorders>
          <w:top w:val="single" w:color="4EA72E" w:themeColor="accent6" w:sz="8" w:space="0"/>
          <w:left w:val="single" w:color="4EA72E" w:themeColor="accent6" w:sz="8" w:space="0"/>
          <w:bottom w:val="single" w:color="4EA72E" w:themeColor="accent6" w:sz="8" w:space="0"/>
          <w:right w:val="single" w:color="4EA72E" w:themeColor="accent6" w:sz="8" w:space="0"/>
          <w:insideV w:val="single" w:sz="8" w:space="0"/>
        </w:tcBorders>
      </w:tcPr>
    </w:tblStylePr>
  </w:style>
  <w:style w:type="table" w:styleId="154">
    <w:name w:val="Medium Shading 1"/>
    <w:basedOn w:val="88"/>
    <w:semiHidden/>
    <w:unhideWhenUsed/>
    <w:qFormat/>
    <w:uiPriority w:val="63"/>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3F3F3F" w:themeColor="text1" w:themeTint="BF" w:sz="6" w:space="0"/>
          <w:left w:val="single" w:color="3F3F3F" w:themeColor="text1" w:themeTint="BF" w:sz="8" w:space="0"/>
          <w:bottom w:val="single" w:color="3F3F3F" w:themeColor="text1" w:themeTint="BF" w:sz="8" w:space="0"/>
          <w:right w:val="single" w:color="3F3F3F"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BFBFBF" w:themeFill="text1" w:themeFillTint="3F"/>
      </w:tcPr>
    </w:tblStylePr>
    <w:tblStylePr w:type="band1Horz">
      <w:tblPr/>
      <w:tcPr>
        <w:tcBorders>
          <w:insideH w:val="nil"/>
          <w:insideV w:val="nil"/>
        </w:tcBorders>
        <w:shd w:val="clear" w:color="auto" w:fill="BFBFBF" w:themeFill="text1" w:themeFillTint="3F"/>
      </w:tcPr>
    </w:tblStylePr>
    <w:tblStylePr w:type="band2Horz">
      <w:tblPr/>
      <w:tcPr>
        <w:tcBorders>
          <w:insideH w:val="nil"/>
          <w:insideV w:val="nil"/>
        </w:tcBorders>
      </w:tcPr>
    </w:tblStylePr>
  </w:style>
  <w:style w:type="table" w:styleId="155">
    <w:name w:val="Medium Shading 1 Accent 1"/>
    <w:basedOn w:val="88"/>
    <w:semiHidden/>
    <w:unhideWhenUsed/>
    <w:qFormat/>
    <w:uiPriority w:val="63"/>
    <w:tblPr>
      <w:tblBorders>
        <w:top w:val="single" w:color="2199CF" w:themeColor="accent1" w:themeTint="BF" w:sz="8" w:space="0"/>
        <w:left w:val="single" w:color="2199CF" w:themeColor="accent1" w:themeTint="BF" w:sz="8" w:space="0"/>
        <w:bottom w:val="single" w:color="2199CF" w:themeColor="accent1" w:themeTint="BF" w:sz="8" w:space="0"/>
        <w:right w:val="single" w:color="2199CF" w:themeColor="accent1" w:themeTint="BF" w:sz="8" w:space="0"/>
        <w:insideH w:val="single" w:color="2199CF" w:themeColor="accent1"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2199CF" w:themeColor="accent1" w:themeTint="BF" w:sz="8" w:space="0"/>
          <w:left w:val="single" w:color="2199CF" w:themeColor="accent1" w:themeTint="BF" w:sz="8" w:space="0"/>
          <w:bottom w:val="single" w:color="2199CF" w:themeColor="accent1" w:themeTint="BF" w:sz="8" w:space="0"/>
          <w:right w:val="single" w:color="2199CF" w:themeColor="accent1" w:themeTint="BF" w:sz="8" w:space="0"/>
          <w:insideH w:val="nil"/>
          <w:insideV w:val="nil"/>
        </w:tcBorders>
        <w:shd w:val="clear" w:color="auto" w:fill="156082" w:themeFill="accent1"/>
      </w:tcPr>
    </w:tblStylePr>
    <w:tblStylePr w:type="lastRow">
      <w:pPr>
        <w:spacing w:before="0" w:after="0" w:line="240" w:lineRule="auto"/>
      </w:pPr>
      <w:rPr>
        <w:b/>
        <w:bCs/>
      </w:rPr>
      <w:tblPr/>
      <w:tcPr>
        <w:tcBorders>
          <w:top w:val="double" w:color="2199CF" w:themeColor="accent1" w:themeTint="BF" w:sz="6" w:space="0"/>
          <w:left w:val="single" w:color="2199CF" w:themeColor="accent1" w:themeTint="BF" w:sz="8" w:space="0"/>
          <w:bottom w:val="single" w:color="2199CF" w:themeColor="accent1" w:themeTint="BF" w:sz="8" w:space="0"/>
          <w:right w:val="single" w:color="2199CF"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156">
    <w:name w:val="Medium Shading 1 Accent 2"/>
    <w:basedOn w:val="88"/>
    <w:semiHidden/>
    <w:unhideWhenUsed/>
    <w:qFormat/>
    <w:uiPriority w:val="63"/>
    <w:tblPr>
      <w:tblBorders>
        <w:top w:val="single" w:color="EE9465" w:themeColor="accent2" w:themeTint="BF" w:sz="8" w:space="0"/>
        <w:left w:val="single" w:color="EE9465" w:themeColor="accent2" w:themeTint="BF" w:sz="8" w:space="0"/>
        <w:bottom w:val="single" w:color="EE9465" w:themeColor="accent2" w:themeTint="BF" w:sz="8" w:space="0"/>
        <w:right w:val="single" w:color="EE9465" w:themeColor="accent2" w:themeTint="BF" w:sz="8" w:space="0"/>
        <w:insideH w:val="single" w:color="EE9465" w:themeColor="accent2"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EE9465" w:themeColor="accent2" w:themeTint="BF" w:sz="8" w:space="0"/>
          <w:left w:val="single" w:color="EE9465" w:themeColor="accent2" w:themeTint="BF" w:sz="8" w:space="0"/>
          <w:bottom w:val="single" w:color="EE9465" w:themeColor="accent2" w:themeTint="BF" w:sz="8" w:space="0"/>
          <w:right w:val="single" w:color="EE9465" w:themeColor="accent2" w:themeTint="BF" w:sz="8" w:space="0"/>
          <w:insideH w:val="nil"/>
          <w:insideV w:val="nil"/>
        </w:tcBorders>
        <w:shd w:val="clear" w:color="auto" w:fill="E97132" w:themeFill="accent2"/>
      </w:tcPr>
    </w:tblStylePr>
    <w:tblStylePr w:type="lastRow">
      <w:pPr>
        <w:spacing w:before="0" w:after="0" w:line="240" w:lineRule="auto"/>
      </w:pPr>
      <w:rPr>
        <w:b/>
        <w:bCs/>
      </w:rPr>
      <w:tblPr/>
      <w:tcPr>
        <w:tcBorders>
          <w:top w:val="double" w:color="EE9465" w:themeColor="accent2" w:themeTint="BF" w:sz="6" w:space="0"/>
          <w:left w:val="single" w:color="EE9465" w:themeColor="accent2" w:themeTint="BF" w:sz="8" w:space="0"/>
          <w:bottom w:val="single" w:color="EE9465" w:themeColor="accent2" w:themeTint="BF" w:sz="8" w:space="0"/>
          <w:right w:val="single" w:color="EE9465"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157">
    <w:name w:val="Medium Shading 1 Accent 3"/>
    <w:basedOn w:val="88"/>
    <w:semiHidden/>
    <w:unhideWhenUsed/>
    <w:qFormat/>
    <w:uiPriority w:val="63"/>
    <w:tblPr>
      <w:tblBorders>
        <w:top w:val="single" w:color="2AB73D" w:themeColor="accent3" w:themeTint="BF" w:sz="8" w:space="0"/>
        <w:left w:val="single" w:color="2AB73D" w:themeColor="accent3" w:themeTint="BF" w:sz="8" w:space="0"/>
        <w:bottom w:val="single" w:color="2AB73D" w:themeColor="accent3" w:themeTint="BF" w:sz="8" w:space="0"/>
        <w:right w:val="single" w:color="2AB73D" w:themeColor="accent3" w:themeTint="BF" w:sz="8" w:space="0"/>
        <w:insideH w:val="single" w:color="2AB73D" w:themeColor="accent3"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2AB73D" w:themeColor="accent3" w:themeTint="BF" w:sz="8" w:space="0"/>
          <w:left w:val="single" w:color="2AB73D" w:themeColor="accent3" w:themeTint="BF" w:sz="8" w:space="0"/>
          <w:bottom w:val="single" w:color="2AB73D" w:themeColor="accent3" w:themeTint="BF" w:sz="8" w:space="0"/>
          <w:right w:val="single" w:color="2AB73D" w:themeColor="accent3" w:themeTint="BF" w:sz="8" w:space="0"/>
          <w:insideH w:val="nil"/>
          <w:insideV w:val="nil"/>
        </w:tcBorders>
        <w:shd w:val="clear" w:color="auto" w:fill="196B24" w:themeFill="accent3"/>
      </w:tcPr>
    </w:tblStylePr>
    <w:tblStylePr w:type="lastRow">
      <w:pPr>
        <w:spacing w:before="0" w:after="0" w:line="240" w:lineRule="auto"/>
      </w:pPr>
      <w:rPr>
        <w:b/>
        <w:bCs/>
      </w:rPr>
      <w:tblPr/>
      <w:tcPr>
        <w:tcBorders>
          <w:top w:val="double" w:color="2AB73D" w:themeColor="accent3" w:themeTint="BF" w:sz="6" w:space="0"/>
          <w:left w:val="single" w:color="2AB73D" w:themeColor="accent3" w:themeTint="BF" w:sz="8" w:space="0"/>
          <w:bottom w:val="single" w:color="2AB73D" w:themeColor="accent3" w:themeTint="BF" w:sz="8" w:space="0"/>
          <w:right w:val="single" w:color="2AB73D"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B3EDBB" w:themeFill="accent3" w:themeFillTint="3F"/>
      </w:tcPr>
    </w:tblStylePr>
    <w:tblStylePr w:type="band1Horz">
      <w:tblPr/>
      <w:tcPr>
        <w:tcBorders>
          <w:insideH w:val="nil"/>
          <w:insideV w:val="nil"/>
        </w:tcBorders>
        <w:shd w:val="clear" w:color="auto" w:fill="B3EDBB" w:themeFill="accent3" w:themeFillTint="3F"/>
      </w:tcPr>
    </w:tblStylePr>
    <w:tblStylePr w:type="band2Horz">
      <w:tblPr/>
      <w:tcPr>
        <w:tcBorders>
          <w:insideH w:val="nil"/>
          <w:insideV w:val="nil"/>
        </w:tcBorders>
      </w:tcPr>
    </w:tblStylePr>
  </w:style>
  <w:style w:type="table" w:styleId="158">
    <w:name w:val="Medium Shading 1 Accent 4"/>
    <w:basedOn w:val="88"/>
    <w:semiHidden/>
    <w:unhideWhenUsed/>
    <w:qFormat/>
    <w:uiPriority w:val="63"/>
    <w:tblPr>
      <w:tblBorders>
        <w:top w:val="single" w:color="39BEF1" w:themeColor="accent4" w:themeTint="BF" w:sz="8" w:space="0"/>
        <w:left w:val="single" w:color="39BEF1" w:themeColor="accent4" w:themeTint="BF" w:sz="8" w:space="0"/>
        <w:bottom w:val="single" w:color="39BEF1" w:themeColor="accent4" w:themeTint="BF" w:sz="8" w:space="0"/>
        <w:right w:val="single" w:color="39BEF1" w:themeColor="accent4" w:themeTint="BF" w:sz="8" w:space="0"/>
        <w:insideH w:val="single" w:color="39BEF1" w:themeColor="accent4"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39BEF1" w:themeColor="accent4" w:themeTint="BF" w:sz="8" w:space="0"/>
          <w:left w:val="single" w:color="39BEF1" w:themeColor="accent4" w:themeTint="BF" w:sz="8" w:space="0"/>
          <w:bottom w:val="single" w:color="39BEF1" w:themeColor="accent4" w:themeTint="BF" w:sz="8" w:space="0"/>
          <w:right w:val="single" w:color="39BEF1" w:themeColor="accent4" w:themeTint="BF" w:sz="8" w:space="0"/>
          <w:insideH w:val="nil"/>
          <w:insideV w:val="nil"/>
        </w:tcBorders>
        <w:shd w:val="clear" w:color="auto" w:fill="0F9ED5" w:themeFill="accent4"/>
      </w:tcPr>
    </w:tblStylePr>
    <w:tblStylePr w:type="lastRow">
      <w:pPr>
        <w:spacing w:before="0" w:after="0" w:line="240" w:lineRule="auto"/>
      </w:pPr>
      <w:rPr>
        <w:b/>
        <w:bCs/>
      </w:rPr>
      <w:tblPr/>
      <w:tcPr>
        <w:tcBorders>
          <w:top w:val="double" w:color="39BEF1" w:themeColor="accent4" w:themeTint="BF" w:sz="6" w:space="0"/>
          <w:left w:val="single" w:color="39BEF1" w:themeColor="accent4" w:themeTint="BF" w:sz="8" w:space="0"/>
          <w:bottom w:val="single" w:color="39BEF1" w:themeColor="accent4" w:themeTint="BF" w:sz="8" w:space="0"/>
          <w:right w:val="single" w:color="39BEF1"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159">
    <w:name w:val="Medium Shading 1 Accent 5"/>
    <w:basedOn w:val="88"/>
    <w:semiHidden/>
    <w:unhideWhenUsed/>
    <w:qFormat/>
    <w:uiPriority w:val="63"/>
    <w:tblPr>
      <w:tblBorders>
        <w:top w:val="single" w:color="CE49BF" w:themeColor="accent5" w:themeTint="BF" w:sz="8" w:space="0"/>
        <w:left w:val="single" w:color="CE49BF" w:themeColor="accent5" w:themeTint="BF" w:sz="8" w:space="0"/>
        <w:bottom w:val="single" w:color="CE49BF" w:themeColor="accent5" w:themeTint="BF" w:sz="8" w:space="0"/>
        <w:right w:val="single" w:color="CE49BF" w:themeColor="accent5" w:themeTint="BF" w:sz="8" w:space="0"/>
        <w:insideH w:val="single" w:color="CE49BF" w:themeColor="accent5"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CE49BF" w:themeColor="accent5" w:themeTint="BF" w:sz="8" w:space="0"/>
          <w:left w:val="single" w:color="CE49BF" w:themeColor="accent5" w:themeTint="BF" w:sz="8" w:space="0"/>
          <w:bottom w:val="single" w:color="CE49BF" w:themeColor="accent5" w:themeTint="BF" w:sz="8" w:space="0"/>
          <w:right w:val="single" w:color="CE49BF" w:themeColor="accent5" w:themeTint="BF" w:sz="8" w:space="0"/>
          <w:insideH w:val="nil"/>
          <w:insideV w:val="nil"/>
        </w:tcBorders>
        <w:shd w:val="clear" w:color="auto" w:fill="A02B93" w:themeFill="accent5"/>
      </w:tcPr>
    </w:tblStylePr>
    <w:tblStylePr w:type="lastRow">
      <w:pPr>
        <w:spacing w:before="0" w:after="0" w:line="240" w:lineRule="auto"/>
      </w:pPr>
      <w:rPr>
        <w:b/>
        <w:bCs/>
      </w:rPr>
      <w:tblPr/>
      <w:tcPr>
        <w:tcBorders>
          <w:top w:val="double" w:color="CE49BF" w:themeColor="accent5" w:themeTint="BF" w:sz="6" w:space="0"/>
          <w:left w:val="single" w:color="CE49BF" w:themeColor="accent5" w:themeTint="BF" w:sz="8" w:space="0"/>
          <w:bottom w:val="single" w:color="CE49BF" w:themeColor="accent5" w:themeTint="BF" w:sz="8" w:space="0"/>
          <w:right w:val="single" w:color="CE49BF"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EEC3EA" w:themeFill="accent5" w:themeFillTint="3F"/>
      </w:tcPr>
    </w:tblStylePr>
    <w:tblStylePr w:type="band1Horz">
      <w:tblPr/>
      <w:tcPr>
        <w:tcBorders>
          <w:insideH w:val="nil"/>
          <w:insideV w:val="nil"/>
        </w:tcBorders>
        <w:shd w:val="clear" w:color="auto" w:fill="EEC3EA" w:themeFill="accent5" w:themeFillTint="3F"/>
      </w:tcPr>
    </w:tblStylePr>
    <w:tblStylePr w:type="band2Horz">
      <w:tblPr/>
      <w:tcPr>
        <w:tcBorders>
          <w:insideH w:val="nil"/>
          <w:insideV w:val="nil"/>
        </w:tcBorders>
      </w:tcPr>
    </w:tblStylePr>
  </w:style>
  <w:style w:type="table" w:styleId="160">
    <w:name w:val="Medium Shading 1 Accent 6"/>
    <w:basedOn w:val="88"/>
    <w:semiHidden/>
    <w:unhideWhenUsed/>
    <w:qFormat/>
    <w:uiPriority w:val="63"/>
    <w:tblPr>
      <w:tblBorders>
        <w:top w:val="single" w:color="72CE50" w:themeColor="accent6" w:themeTint="BF" w:sz="8" w:space="0"/>
        <w:left w:val="single" w:color="72CE50" w:themeColor="accent6" w:themeTint="BF" w:sz="8" w:space="0"/>
        <w:bottom w:val="single" w:color="72CE50" w:themeColor="accent6" w:themeTint="BF" w:sz="8" w:space="0"/>
        <w:right w:val="single" w:color="72CE50" w:themeColor="accent6" w:themeTint="BF" w:sz="8" w:space="0"/>
        <w:insideH w:val="single" w:color="72CE50" w:themeColor="accent6" w:themeTint="BF" w:sz="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72CE50" w:themeColor="accent6" w:themeTint="BF" w:sz="8" w:space="0"/>
          <w:left w:val="single" w:color="72CE50" w:themeColor="accent6" w:themeTint="BF" w:sz="8" w:space="0"/>
          <w:bottom w:val="single" w:color="72CE50" w:themeColor="accent6" w:themeTint="BF" w:sz="8" w:space="0"/>
          <w:right w:val="single" w:color="72CE50" w:themeColor="accent6" w:themeTint="BF" w:sz="8" w:space="0"/>
          <w:insideH w:val="nil"/>
          <w:insideV w:val="nil"/>
        </w:tcBorders>
        <w:shd w:val="clear" w:color="auto" w:fill="4EA72E" w:themeFill="accent6"/>
      </w:tcPr>
    </w:tblStylePr>
    <w:tblStylePr w:type="lastRow">
      <w:pPr>
        <w:spacing w:before="0" w:after="0" w:line="240" w:lineRule="auto"/>
      </w:pPr>
      <w:rPr>
        <w:b/>
        <w:bCs/>
      </w:rPr>
      <w:tblPr/>
      <w:tcPr>
        <w:tcBorders>
          <w:top w:val="double" w:color="72CE50" w:themeColor="accent6" w:themeTint="BF" w:sz="6" w:space="0"/>
          <w:left w:val="single" w:color="72CE50" w:themeColor="accent6" w:themeTint="BF" w:sz="8" w:space="0"/>
          <w:bottom w:val="single" w:color="72CE50" w:themeColor="accent6" w:themeTint="BF" w:sz="8" w:space="0"/>
          <w:right w:val="single" w:color="72CE50"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161">
    <w:name w:val="Medium Shading 2"/>
    <w:basedOn w:val="88"/>
    <w:semiHidden/>
    <w:unhideWhenUsed/>
    <w:qFormat/>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62">
    <w:name w:val="Medium Shading 2 Accent 1"/>
    <w:basedOn w:val="88"/>
    <w:semiHidden/>
    <w:unhideWhenUsed/>
    <w:qFormat/>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156082" w:themeFill="accent1"/>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63">
    <w:name w:val="Medium Shading 2 Accent 2"/>
    <w:basedOn w:val="88"/>
    <w:semiHidden/>
    <w:unhideWhenUsed/>
    <w:qFormat/>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E97132" w:themeFill="accent2"/>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64">
    <w:name w:val="Medium Shading 2 Accent 3"/>
    <w:basedOn w:val="88"/>
    <w:semiHidden/>
    <w:unhideWhenUsed/>
    <w:qFormat/>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196B24" w:themeFill="accent3"/>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65">
    <w:name w:val="Medium Shading 2 Accent 4"/>
    <w:basedOn w:val="88"/>
    <w:semiHidden/>
    <w:unhideWhenUsed/>
    <w:qFormat/>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0F9ED5" w:themeFill="accent4"/>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66">
    <w:name w:val="Medium Shading 2 Accent 5"/>
    <w:basedOn w:val="88"/>
    <w:semiHidden/>
    <w:unhideWhenUsed/>
    <w:qFormat/>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A02B93" w:themeFill="accent5"/>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67">
    <w:name w:val="Medium Shading 2 Accent 6"/>
    <w:basedOn w:val="88"/>
    <w:semiHidden/>
    <w:unhideWhenUsed/>
    <w:qFormat/>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EA72E" w:themeFill="accent6"/>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168">
    <w:name w:val="Medium List 1"/>
    <w:basedOn w:val="88"/>
    <w:semiHidden/>
    <w:unhideWhenUsed/>
    <w:qFormat/>
    <w:uiPriority w:val="65"/>
    <w:rPr>
      <w:color w:val="000000" w:themeColor="text1"/>
      <w14:textFill>
        <w14:solidFill>
          <w14:schemeClr w14:val="tx1"/>
        </w14:solidFill>
      </w14:textFill>
    </w:rPr>
    <w:tblPr>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0E2841" w:themeColor="text2"/>
        <w14:textFill>
          <w14:solidFill>
            <w14:schemeClr w14:val="tx2"/>
          </w14:solidFill>
        </w14:textFill>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BFBFBF" w:themeFill="text1" w:themeFillTint="3F"/>
      </w:tcPr>
    </w:tblStylePr>
    <w:tblStylePr w:type="band1Horz">
      <w:tblPr/>
      <w:tcPr>
        <w:shd w:val="clear" w:color="auto" w:fill="BFBFBF" w:themeFill="text1" w:themeFillTint="3F"/>
      </w:tcPr>
    </w:tblStylePr>
  </w:style>
  <w:style w:type="table" w:styleId="169">
    <w:name w:val="Medium List 1 Accent 1"/>
    <w:basedOn w:val="88"/>
    <w:semiHidden/>
    <w:unhideWhenUsed/>
    <w:qFormat/>
    <w:uiPriority w:val="65"/>
    <w:rPr>
      <w:color w:val="000000" w:themeColor="text1"/>
      <w14:textFill>
        <w14:solidFill>
          <w14:schemeClr w14:val="tx1"/>
        </w14:solidFill>
      </w14:textFill>
    </w:rPr>
    <w:tblPr>
      <w:tblBorders>
        <w:top w:val="single" w:color="156082" w:themeColor="accent1" w:sz="8" w:space="0"/>
        <w:bottom w:val="single" w:color="156082" w:themeColor="accent1" w:sz="8" w:space="0"/>
      </w:tblBorders>
    </w:tblPr>
    <w:tblStylePr w:type="firstRow">
      <w:rPr>
        <w:rFonts w:asciiTheme="majorHAnsi" w:hAnsiTheme="majorHAnsi" w:eastAsiaTheme="majorEastAsia" w:cstheme="majorBidi"/>
      </w:rPr>
      <w:tblPr/>
      <w:tcPr>
        <w:tcBorders>
          <w:top w:val="nil"/>
          <w:bottom w:val="single" w:color="156082" w:themeColor="accent1" w:sz="8" w:space="0"/>
        </w:tcBorders>
      </w:tcPr>
    </w:tblStylePr>
    <w:tblStylePr w:type="lastRow">
      <w:rPr>
        <w:b/>
        <w:bCs/>
        <w:color w:val="0E2841" w:themeColor="text2"/>
        <w14:textFill>
          <w14:solidFill>
            <w14:schemeClr w14:val="tx2"/>
          </w14:solidFill>
        </w14:textFill>
      </w:rPr>
      <w:tblPr/>
      <w:tcPr>
        <w:tcBorders>
          <w:top w:val="single" w:color="156082" w:themeColor="accent1" w:sz="8" w:space="0"/>
          <w:bottom w:val="single" w:color="156082" w:themeColor="accent1" w:sz="8" w:space="0"/>
        </w:tcBorders>
      </w:tcPr>
    </w:tblStylePr>
    <w:tblStylePr w:type="firstCol">
      <w:rPr>
        <w:b/>
        <w:bCs/>
      </w:rPr>
    </w:tblStylePr>
    <w:tblStylePr w:type="lastCol">
      <w:rPr>
        <w:b/>
        <w:bCs/>
      </w:rPr>
      <w:tblPr/>
      <w:tcPr>
        <w:tcBorders>
          <w:top w:val="single" w:color="156082" w:themeColor="accent1" w:sz="8" w:space="0"/>
          <w:bottom w:val="single" w:color="156082" w:themeColor="accent1" w:sz="8" w:space="0"/>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170">
    <w:name w:val="Medium List 1 Accent 2"/>
    <w:basedOn w:val="88"/>
    <w:semiHidden/>
    <w:unhideWhenUsed/>
    <w:qFormat/>
    <w:uiPriority w:val="65"/>
    <w:rPr>
      <w:color w:val="000000" w:themeColor="text1"/>
      <w14:textFill>
        <w14:solidFill>
          <w14:schemeClr w14:val="tx1"/>
        </w14:solidFill>
      </w14:textFill>
    </w:rPr>
    <w:tblPr>
      <w:tblBorders>
        <w:top w:val="single" w:color="E97132" w:themeColor="accent2" w:sz="8" w:space="0"/>
        <w:bottom w:val="single" w:color="E97132" w:themeColor="accent2" w:sz="8" w:space="0"/>
      </w:tblBorders>
    </w:tblPr>
    <w:tblStylePr w:type="firstRow">
      <w:rPr>
        <w:rFonts w:asciiTheme="majorHAnsi" w:hAnsiTheme="majorHAnsi" w:eastAsiaTheme="majorEastAsia" w:cstheme="majorBidi"/>
      </w:rPr>
      <w:tblPr/>
      <w:tcPr>
        <w:tcBorders>
          <w:top w:val="nil"/>
          <w:bottom w:val="single" w:color="E97132" w:themeColor="accent2" w:sz="8" w:space="0"/>
        </w:tcBorders>
      </w:tcPr>
    </w:tblStylePr>
    <w:tblStylePr w:type="lastRow">
      <w:rPr>
        <w:b/>
        <w:bCs/>
        <w:color w:val="0E2841" w:themeColor="text2"/>
        <w14:textFill>
          <w14:solidFill>
            <w14:schemeClr w14:val="tx2"/>
          </w14:solidFill>
        </w14:textFill>
      </w:rPr>
      <w:tblPr/>
      <w:tcPr>
        <w:tcBorders>
          <w:top w:val="single" w:color="E97132" w:themeColor="accent2" w:sz="8" w:space="0"/>
          <w:bottom w:val="single" w:color="E97132" w:themeColor="accent2" w:sz="8" w:space="0"/>
        </w:tcBorders>
      </w:tcPr>
    </w:tblStylePr>
    <w:tblStylePr w:type="firstCol">
      <w:rPr>
        <w:b/>
        <w:bCs/>
      </w:rPr>
    </w:tblStylePr>
    <w:tblStylePr w:type="lastCol">
      <w:rPr>
        <w:b/>
        <w:bCs/>
      </w:rPr>
      <w:tblPr/>
      <w:tcPr>
        <w:tcBorders>
          <w:top w:val="single" w:color="E97132" w:themeColor="accent2" w:sz="8" w:space="0"/>
          <w:bottom w:val="single" w:color="E97132" w:themeColor="accent2" w:sz="8" w:space="0"/>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171">
    <w:name w:val="Medium List 1 Accent 3"/>
    <w:basedOn w:val="88"/>
    <w:semiHidden/>
    <w:unhideWhenUsed/>
    <w:qFormat/>
    <w:uiPriority w:val="65"/>
    <w:rPr>
      <w:color w:val="000000" w:themeColor="text1"/>
      <w14:textFill>
        <w14:solidFill>
          <w14:schemeClr w14:val="tx1"/>
        </w14:solidFill>
      </w14:textFill>
    </w:rPr>
    <w:tblPr>
      <w:tblBorders>
        <w:top w:val="single" w:color="196B24" w:themeColor="accent3" w:sz="8" w:space="0"/>
        <w:bottom w:val="single" w:color="196B24" w:themeColor="accent3" w:sz="8" w:space="0"/>
      </w:tblBorders>
    </w:tblPr>
    <w:tblStylePr w:type="firstRow">
      <w:rPr>
        <w:rFonts w:asciiTheme="majorHAnsi" w:hAnsiTheme="majorHAnsi" w:eastAsiaTheme="majorEastAsia" w:cstheme="majorBidi"/>
      </w:rPr>
      <w:tblPr/>
      <w:tcPr>
        <w:tcBorders>
          <w:top w:val="nil"/>
          <w:bottom w:val="single" w:color="196B24" w:themeColor="accent3" w:sz="8" w:space="0"/>
        </w:tcBorders>
      </w:tcPr>
    </w:tblStylePr>
    <w:tblStylePr w:type="lastRow">
      <w:rPr>
        <w:b/>
        <w:bCs/>
        <w:color w:val="0E2841" w:themeColor="text2"/>
        <w14:textFill>
          <w14:solidFill>
            <w14:schemeClr w14:val="tx2"/>
          </w14:solidFill>
        </w14:textFill>
      </w:rPr>
      <w:tblPr/>
      <w:tcPr>
        <w:tcBorders>
          <w:top w:val="single" w:color="196B24" w:themeColor="accent3" w:sz="8" w:space="0"/>
          <w:bottom w:val="single" w:color="196B24" w:themeColor="accent3" w:sz="8" w:space="0"/>
        </w:tcBorders>
      </w:tcPr>
    </w:tblStylePr>
    <w:tblStylePr w:type="firstCol">
      <w:rPr>
        <w:b/>
        <w:bCs/>
      </w:rPr>
    </w:tblStylePr>
    <w:tblStylePr w:type="lastCol">
      <w:rPr>
        <w:b/>
        <w:bCs/>
      </w:rPr>
      <w:tblPr/>
      <w:tcPr>
        <w:tcBorders>
          <w:top w:val="single" w:color="196B24" w:themeColor="accent3" w:sz="8" w:space="0"/>
          <w:bottom w:val="single" w:color="196B24" w:themeColor="accent3" w:sz="8" w:space="0"/>
        </w:tcBorders>
      </w:tcPr>
    </w:tblStylePr>
    <w:tblStylePr w:type="band1Vert">
      <w:tblPr/>
      <w:tcPr>
        <w:shd w:val="clear" w:color="auto" w:fill="B3EDBB" w:themeFill="accent3" w:themeFillTint="3F"/>
      </w:tcPr>
    </w:tblStylePr>
    <w:tblStylePr w:type="band1Horz">
      <w:tblPr/>
      <w:tcPr>
        <w:shd w:val="clear" w:color="auto" w:fill="B3EDBB" w:themeFill="accent3" w:themeFillTint="3F"/>
      </w:tcPr>
    </w:tblStylePr>
  </w:style>
  <w:style w:type="table" w:styleId="172">
    <w:name w:val="Medium List 1 Accent 4"/>
    <w:basedOn w:val="88"/>
    <w:semiHidden/>
    <w:unhideWhenUsed/>
    <w:qFormat/>
    <w:uiPriority w:val="65"/>
    <w:rPr>
      <w:color w:val="000000" w:themeColor="text1"/>
      <w14:textFill>
        <w14:solidFill>
          <w14:schemeClr w14:val="tx1"/>
        </w14:solidFill>
      </w14:textFill>
    </w:rPr>
    <w:tblPr>
      <w:tblBorders>
        <w:top w:val="single" w:color="0F9ED5" w:themeColor="accent4" w:sz="8" w:space="0"/>
        <w:bottom w:val="single" w:color="0F9ED5" w:themeColor="accent4" w:sz="8" w:space="0"/>
      </w:tblBorders>
    </w:tblPr>
    <w:tblStylePr w:type="firstRow">
      <w:rPr>
        <w:rFonts w:asciiTheme="majorHAnsi" w:hAnsiTheme="majorHAnsi" w:eastAsiaTheme="majorEastAsia" w:cstheme="majorBidi"/>
      </w:rPr>
      <w:tblPr/>
      <w:tcPr>
        <w:tcBorders>
          <w:top w:val="nil"/>
          <w:bottom w:val="single" w:color="0F9ED5" w:themeColor="accent4" w:sz="8" w:space="0"/>
        </w:tcBorders>
      </w:tcPr>
    </w:tblStylePr>
    <w:tblStylePr w:type="lastRow">
      <w:rPr>
        <w:b/>
        <w:bCs/>
        <w:color w:val="0E2841" w:themeColor="text2"/>
        <w14:textFill>
          <w14:solidFill>
            <w14:schemeClr w14:val="tx2"/>
          </w14:solidFill>
        </w14:textFill>
      </w:rPr>
      <w:tblPr/>
      <w:tcPr>
        <w:tcBorders>
          <w:top w:val="single" w:color="0F9ED5" w:themeColor="accent4" w:sz="8" w:space="0"/>
          <w:bottom w:val="single" w:color="0F9ED5" w:themeColor="accent4" w:sz="8" w:space="0"/>
        </w:tcBorders>
      </w:tcPr>
    </w:tblStylePr>
    <w:tblStylePr w:type="firstCol">
      <w:rPr>
        <w:b/>
        <w:bCs/>
      </w:rPr>
    </w:tblStylePr>
    <w:tblStylePr w:type="lastCol">
      <w:rPr>
        <w:b/>
        <w:bCs/>
      </w:rPr>
      <w:tblPr/>
      <w:tcPr>
        <w:tcBorders>
          <w:top w:val="single" w:color="0F9ED5" w:themeColor="accent4" w:sz="8" w:space="0"/>
          <w:bottom w:val="single" w:color="0F9ED5" w:themeColor="accent4" w:sz="8" w:space="0"/>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173">
    <w:name w:val="Medium List 1 Accent 5"/>
    <w:basedOn w:val="88"/>
    <w:semiHidden/>
    <w:unhideWhenUsed/>
    <w:qFormat/>
    <w:uiPriority w:val="65"/>
    <w:rPr>
      <w:color w:val="000000" w:themeColor="text1"/>
      <w14:textFill>
        <w14:solidFill>
          <w14:schemeClr w14:val="tx1"/>
        </w14:solidFill>
      </w14:textFill>
    </w:rPr>
    <w:tblPr>
      <w:tblBorders>
        <w:top w:val="single" w:color="A02B93" w:themeColor="accent5" w:sz="8" w:space="0"/>
        <w:bottom w:val="single" w:color="A02B93" w:themeColor="accent5" w:sz="8" w:space="0"/>
      </w:tblBorders>
    </w:tblPr>
    <w:tblStylePr w:type="firstRow">
      <w:rPr>
        <w:rFonts w:asciiTheme="majorHAnsi" w:hAnsiTheme="majorHAnsi" w:eastAsiaTheme="majorEastAsia" w:cstheme="majorBidi"/>
      </w:rPr>
      <w:tblPr/>
      <w:tcPr>
        <w:tcBorders>
          <w:top w:val="nil"/>
          <w:bottom w:val="single" w:color="A02B93" w:themeColor="accent5" w:sz="8" w:space="0"/>
        </w:tcBorders>
      </w:tcPr>
    </w:tblStylePr>
    <w:tblStylePr w:type="lastRow">
      <w:rPr>
        <w:b/>
        <w:bCs/>
        <w:color w:val="0E2841" w:themeColor="text2"/>
        <w14:textFill>
          <w14:solidFill>
            <w14:schemeClr w14:val="tx2"/>
          </w14:solidFill>
        </w14:textFill>
      </w:rPr>
      <w:tblPr/>
      <w:tcPr>
        <w:tcBorders>
          <w:top w:val="single" w:color="A02B93" w:themeColor="accent5" w:sz="8" w:space="0"/>
          <w:bottom w:val="single" w:color="A02B93" w:themeColor="accent5" w:sz="8" w:space="0"/>
        </w:tcBorders>
      </w:tcPr>
    </w:tblStylePr>
    <w:tblStylePr w:type="firstCol">
      <w:rPr>
        <w:b/>
        <w:bCs/>
      </w:rPr>
    </w:tblStylePr>
    <w:tblStylePr w:type="lastCol">
      <w:rPr>
        <w:b/>
        <w:bCs/>
      </w:rPr>
      <w:tblPr/>
      <w:tcPr>
        <w:tcBorders>
          <w:top w:val="single" w:color="A02B93" w:themeColor="accent5" w:sz="8" w:space="0"/>
          <w:bottom w:val="single" w:color="A02B93" w:themeColor="accent5" w:sz="8" w:space="0"/>
        </w:tcBorders>
      </w:tcPr>
    </w:tblStylePr>
    <w:tblStylePr w:type="band1Vert">
      <w:tblPr/>
      <w:tcPr>
        <w:shd w:val="clear" w:color="auto" w:fill="EEC3EA" w:themeFill="accent5" w:themeFillTint="3F"/>
      </w:tcPr>
    </w:tblStylePr>
    <w:tblStylePr w:type="band1Horz">
      <w:tblPr/>
      <w:tcPr>
        <w:shd w:val="clear" w:color="auto" w:fill="EEC3EA" w:themeFill="accent5" w:themeFillTint="3F"/>
      </w:tcPr>
    </w:tblStylePr>
  </w:style>
  <w:style w:type="table" w:styleId="174">
    <w:name w:val="Medium List 1 Accent 6"/>
    <w:basedOn w:val="88"/>
    <w:semiHidden/>
    <w:unhideWhenUsed/>
    <w:qFormat/>
    <w:uiPriority w:val="65"/>
    <w:rPr>
      <w:color w:val="000000" w:themeColor="text1"/>
      <w14:textFill>
        <w14:solidFill>
          <w14:schemeClr w14:val="tx1"/>
        </w14:solidFill>
      </w14:textFill>
    </w:rPr>
    <w:tblPr>
      <w:tblBorders>
        <w:top w:val="single" w:color="4EA72E" w:themeColor="accent6" w:sz="8" w:space="0"/>
        <w:bottom w:val="single" w:color="4EA72E" w:themeColor="accent6" w:sz="8" w:space="0"/>
      </w:tblBorders>
    </w:tblPr>
    <w:tblStylePr w:type="firstRow">
      <w:rPr>
        <w:rFonts w:asciiTheme="majorHAnsi" w:hAnsiTheme="majorHAnsi" w:eastAsiaTheme="majorEastAsia" w:cstheme="majorBidi"/>
      </w:rPr>
      <w:tblPr/>
      <w:tcPr>
        <w:tcBorders>
          <w:top w:val="nil"/>
          <w:bottom w:val="single" w:color="4EA72E" w:themeColor="accent6" w:sz="8" w:space="0"/>
        </w:tcBorders>
      </w:tcPr>
    </w:tblStylePr>
    <w:tblStylePr w:type="lastRow">
      <w:rPr>
        <w:b/>
        <w:bCs/>
        <w:color w:val="0E2841" w:themeColor="text2"/>
        <w14:textFill>
          <w14:solidFill>
            <w14:schemeClr w14:val="tx2"/>
          </w14:solidFill>
        </w14:textFill>
      </w:rPr>
      <w:tblPr/>
      <w:tcPr>
        <w:tcBorders>
          <w:top w:val="single" w:color="4EA72E" w:themeColor="accent6" w:sz="8" w:space="0"/>
          <w:bottom w:val="single" w:color="4EA72E" w:themeColor="accent6" w:sz="8" w:space="0"/>
        </w:tcBorders>
      </w:tcPr>
    </w:tblStylePr>
    <w:tblStylePr w:type="firstCol">
      <w:rPr>
        <w:b/>
        <w:bCs/>
      </w:rPr>
    </w:tblStylePr>
    <w:tblStylePr w:type="lastCol">
      <w:rPr>
        <w:b/>
        <w:bCs/>
      </w:rPr>
      <w:tblPr/>
      <w:tcPr>
        <w:tcBorders>
          <w:top w:val="single" w:color="4EA72E" w:themeColor="accent6" w:sz="8" w:space="0"/>
          <w:bottom w:val="single" w:color="4EA72E" w:themeColor="accent6" w:sz="8" w:space="0"/>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175">
    <w:name w:val="Medium List 2"/>
    <w:basedOn w:val="88"/>
    <w:semiHidden/>
    <w:unhideWhenUsed/>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top w:val="nil"/>
          <w:bottom w:val="nil"/>
          <w:insideH w:val="nil"/>
          <w:insideV w:val="nil"/>
        </w:tcBorders>
        <w:shd w:val="clear" w:color="auto" w:fill="BFBFB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176">
    <w:name w:val="Medium List 2 Accent 1"/>
    <w:basedOn w:val="88"/>
    <w:semiHidden/>
    <w:unhideWhenUsed/>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156082" w:themeColor="accent1" w:sz="8" w:space="0"/>
        <w:left w:val="single" w:color="156082" w:themeColor="accent1" w:sz="8" w:space="0"/>
        <w:bottom w:val="single" w:color="156082" w:themeColor="accent1" w:sz="8" w:space="0"/>
        <w:right w:val="single" w:color="156082" w:themeColor="accent1" w:sz="8" w:space="0"/>
      </w:tblBorders>
    </w:tblPr>
    <w:tblStylePr w:type="firstRow">
      <w:rPr>
        <w:sz w:val="24"/>
        <w:szCs w:val="24"/>
      </w:rPr>
      <w:tblPr/>
      <w:tcPr>
        <w:tcBorders>
          <w:top w:val="nil"/>
          <w:left w:val="nil"/>
          <w:bottom w:val="single" w:color="156082" w:themeColor="accent1" w:sz="24" w:space="0"/>
          <w:right w:val="nil"/>
          <w:insideH w:val="nil"/>
          <w:insideV w:val="nil"/>
        </w:tcBorders>
        <w:shd w:val="clear" w:color="auto" w:fill="FFFFFF" w:themeFill="background1"/>
      </w:tcPr>
    </w:tblStylePr>
    <w:tblStylePr w:type="lastRow">
      <w:tblPr/>
      <w:tcPr>
        <w:tcBorders>
          <w:top w:val="single" w:color="156082"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156082" w:themeColor="accent1" w:sz="8" w:space="0"/>
          <w:insideH w:val="nil"/>
          <w:insideV w:val="nil"/>
        </w:tcBorders>
        <w:shd w:val="clear" w:color="auto" w:fill="FFFFFF" w:themeFill="background1"/>
      </w:tcPr>
    </w:tblStylePr>
    <w:tblStylePr w:type="lastCol">
      <w:tblPr/>
      <w:tcPr>
        <w:tcBorders>
          <w:top w:val="nil"/>
          <w:left w:val="single" w:color="156082"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177">
    <w:name w:val="Medium List 2 Accent 2"/>
    <w:basedOn w:val="88"/>
    <w:semiHidden/>
    <w:unhideWhenUsed/>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E97132" w:themeColor="accent2" w:sz="8" w:space="0"/>
        <w:left w:val="single" w:color="E97132" w:themeColor="accent2" w:sz="8" w:space="0"/>
        <w:bottom w:val="single" w:color="E97132" w:themeColor="accent2" w:sz="8" w:space="0"/>
        <w:right w:val="single" w:color="E97132" w:themeColor="accent2" w:sz="8" w:space="0"/>
      </w:tblBorders>
    </w:tblPr>
    <w:tblStylePr w:type="firstRow">
      <w:rPr>
        <w:sz w:val="24"/>
        <w:szCs w:val="24"/>
      </w:rPr>
      <w:tblPr/>
      <w:tcPr>
        <w:tcBorders>
          <w:top w:val="nil"/>
          <w:left w:val="nil"/>
          <w:bottom w:val="single" w:color="E97132" w:themeColor="accent2" w:sz="24" w:space="0"/>
          <w:right w:val="nil"/>
          <w:insideH w:val="nil"/>
          <w:insideV w:val="nil"/>
        </w:tcBorders>
        <w:shd w:val="clear" w:color="auto" w:fill="FFFFFF" w:themeFill="background1"/>
      </w:tcPr>
    </w:tblStylePr>
    <w:tblStylePr w:type="lastRow">
      <w:tblPr/>
      <w:tcPr>
        <w:tcBorders>
          <w:top w:val="single" w:color="E97132" w:themeColor="accent2" w:sz="8" w:space="0"/>
          <w:left w:val="nil"/>
          <w:right w:val="nil"/>
          <w:insideH w:val="nil"/>
          <w:insideV w:val="nil"/>
        </w:tcBorders>
        <w:shd w:val="clear" w:color="auto" w:fill="FFFFFF" w:themeFill="background1"/>
      </w:tcPr>
    </w:tblStylePr>
    <w:tblStylePr w:type="firstCol">
      <w:tblPr/>
      <w:tcPr>
        <w:tcBorders>
          <w:top w:val="nil"/>
          <w:left w:val="nil"/>
          <w:bottom w:val="nil"/>
          <w:right w:val="single" w:color="E97132" w:themeColor="accent2" w:sz="8" w:space="0"/>
          <w:insideH w:val="nil"/>
          <w:insideV w:val="nil"/>
        </w:tcBorders>
        <w:shd w:val="clear" w:color="auto" w:fill="FFFFFF" w:themeFill="background1"/>
      </w:tcPr>
    </w:tblStylePr>
    <w:tblStylePr w:type="lastCol">
      <w:tblPr/>
      <w:tcPr>
        <w:tcBorders>
          <w:top w:val="nil"/>
          <w:left w:val="single" w:color="E97132"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178">
    <w:name w:val="Medium List 2 Accent 3"/>
    <w:basedOn w:val="88"/>
    <w:semiHidden/>
    <w:unhideWhenUsed/>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196B24" w:themeColor="accent3" w:sz="8" w:space="0"/>
        <w:left w:val="single" w:color="196B24" w:themeColor="accent3" w:sz="8" w:space="0"/>
        <w:bottom w:val="single" w:color="196B24" w:themeColor="accent3" w:sz="8" w:space="0"/>
        <w:right w:val="single" w:color="196B24" w:themeColor="accent3" w:sz="8" w:space="0"/>
      </w:tblBorders>
    </w:tblPr>
    <w:tblStylePr w:type="firstRow">
      <w:rPr>
        <w:sz w:val="24"/>
        <w:szCs w:val="24"/>
      </w:rPr>
      <w:tblPr/>
      <w:tcPr>
        <w:tcBorders>
          <w:top w:val="nil"/>
          <w:left w:val="nil"/>
          <w:bottom w:val="single" w:color="196B24" w:themeColor="accent3" w:sz="24" w:space="0"/>
          <w:right w:val="nil"/>
          <w:insideH w:val="nil"/>
          <w:insideV w:val="nil"/>
        </w:tcBorders>
        <w:shd w:val="clear" w:color="auto" w:fill="FFFFFF" w:themeFill="background1"/>
      </w:tcPr>
    </w:tblStylePr>
    <w:tblStylePr w:type="lastRow">
      <w:tblPr/>
      <w:tcPr>
        <w:tcBorders>
          <w:top w:val="single" w:color="196B24"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196B24" w:themeColor="accent3" w:sz="8" w:space="0"/>
          <w:insideH w:val="nil"/>
          <w:insideV w:val="nil"/>
        </w:tcBorders>
        <w:shd w:val="clear" w:color="auto" w:fill="FFFFFF" w:themeFill="background1"/>
      </w:tcPr>
    </w:tblStylePr>
    <w:tblStylePr w:type="lastCol">
      <w:tblPr/>
      <w:tcPr>
        <w:tcBorders>
          <w:top w:val="nil"/>
          <w:left w:val="single" w:color="196B24"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B" w:themeFill="accent3" w:themeFillTint="3F"/>
      </w:tcPr>
    </w:tblStylePr>
    <w:tblStylePr w:type="band1Horz">
      <w:tblPr/>
      <w:tcPr>
        <w:tcBorders>
          <w:top w:val="nil"/>
          <w:bottom w:val="nil"/>
          <w:insideH w:val="nil"/>
          <w:insideV w:val="nil"/>
        </w:tcBorders>
        <w:shd w:val="clear" w:color="auto" w:fill="B3EDB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179">
    <w:name w:val="Medium List 2 Accent 4"/>
    <w:basedOn w:val="88"/>
    <w:semiHidden/>
    <w:unhideWhenUsed/>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0F9ED5" w:themeColor="accent4" w:sz="8" w:space="0"/>
        <w:left w:val="single" w:color="0F9ED5" w:themeColor="accent4" w:sz="8" w:space="0"/>
        <w:bottom w:val="single" w:color="0F9ED5" w:themeColor="accent4" w:sz="8" w:space="0"/>
        <w:right w:val="single" w:color="0F9ED5" w:themeColor="accent4" w:sz="8" w:space="0"/>
      </w:tblBorders>
    </w:tblPr>
    <w:tblStylePr w:type="firstRow">
      <w:rPr>
        <w:sz w:val="24"/>
        <w:szCs w:val="24"/>
      </w:rPr>
      <w:tblPr/>
      <w:tcPr>
        <w:tcBorders>
          <w:top w:val="nil"/>
          <w:left w:val="nil"/>
          <w:bottom w:val="single" w:color="0F9ED5" w:themeColor="accent4" w:sz="24" w:space="0"/>
          <w:right w:val="nil"/>
          <w:insideH w:val="nil"/>
          <w:insideV w:val="nil"/>
        </w:tcBorders>
        <w:shd w:val="clear" w:color="auto" w:fill="FFFFFF" w:themeFill="background1"/>
      </w:tcPr>
    </w:tblStylePr>
    <w:tblStylePr w:type="lastRow">
      <w:tblPr/>
      <w:tcPr>
        <w:tcBorders>
          <w:top w:val="single" w:color="0F9ED5"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F9ED5" w:themeColor="accent4" w:sz="8" w:space="0"/>
          <w:insideH w:val="nil"/>
          <w:insideV w:val="nil"/>
        </w:tcBorders>
        <w:shd w:val="clear" w:color="auto" w:fill="FFFFFF" w:themeFill="background1"/>
      </w:tcPr>
    </w:tblStylePr>
    <w:tblStylePr w:type="lastCol">
      <w:tblPr/>
      <w:tcPr>
        <w:tcBorders>
          <w:top w:val="nil"/>
          <w:left w:val="single" w:color="0F9ED5"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180">
    <w:name w:val="Medium List 2 Accent 5"/>
    <w:basedOn w:val="88"/>
    <w:semiHidden/>
    <w:unhideWhenUsed/>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A02B93" w:themeColor="accent5" w:sz="8" w:space="0"/>
        <w:left w:val="single" w:color="A02B93" w:themeColor="accent5" w:sz="8" w:space="0"/>
        <w:bottom w:val="single" w:color="A02B93" w:themeColor="accent5" w:sz="8" w:space="0"/>
        <w:right w:val="single" w:color="A02B93" w:themeColor="accent5" w:sz="8" w:space="0"/>
      </w:tblBorders>
    </w:tblPr>
    <w:tblStylePr w:type="firstRow">
      <w:rPr>
        <w:sz w:val="24"/>
        <w:szCs w:val="24"/>
      </w:rPr>
      <w:tblPr/>
      <w:tcPr>
        <w:tcBorders>
          <w:top w:val="nil"/>
          <w:left w:val="nil"/>
          <w:bottom w:val="single" w:color="A02B93" w:themeColor="accent5" w:sz="24" w:space="0"/>
          <w:right w:val="nil"/>
          <w:insideH w:val="nil"/>
          <w:insideV w:val="nil"/>
        </w:tcBorders>
        <w:shd w:val="clear" w:color="auto" w:fill="FFFFFF" w:themeFill="background1"/>
      </w:tcPr>
    </w:tblStylePr>
    <w:tblStylePr w:type="lastRow">
      <w:tblPr/>
      <w:tcPr>
        <w:tcBorders>
          <w:top w:val="single" w:color="A02B93"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A02B93" w:themeColor="accent5" w:sz="8" w:space="0"/>
          <w:insideH w:val="nil"/>
          <w:insideV w:val="nil"/>
        </w:tcBorders>
        <w:shd w:val="clear" w:color="auto" w:fill="FFFFFF" w:themeFill="background1"/>
      </w:tcPr>
    </w:tblStylePr>
    <w:tblStylePr w:type="lastCol">
      <w:tblPr/>
      <w:tcPr>
        <w:tcBorders>
          <w:top w:val="nil"/>
          <w:left w:val="single" w:color="A02B93"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EC3EA" w:themeFill="accent5" w:themeFillTint="3F"/>
      </w:tcPr>
    </w:tblStylePr>
    <w:tblStylePr w:type="band1Horz">
      <w:tblPr/>
      <w:tcPr>
        <w:tcBorders>
          <w:top w:val="nil"/>
          <w:bottom w:val="nil"/>
          <w:insideH w:val="nil"/>
          <w:insideV w:val="nil"/>
        </w:tcBorders>
        <w:shd w:val="clear" w:color="auto" w:fill="EEC3EA"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181">
    <w:name w:val="Medium List 2 Accent 6"/>
    <w:basedOn w:val="88"/>
    <w:semiHidden/>
    <w:unhideWhenUsed/>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4EA72E" w:themeColor="accent6" w:sz="8" w:space="0"/>
        <w:left w:val="single" w:color="4EA72E" w:themeColor="accent6" w:sz="8" w:space="0"/>
        <w:bottom w:val="single" w:color="4EA72E" w:themeColor="accent6" w:sz="8" w:space="0"/>
        <w:right w:val="single" w:color="4EA72E" w:themeColor="accent6" w:sz="8" w:space="0"/>
      </w:tblBorders>
    </w:tblPr>
    <w:tblStylePr w:type="firstRow">
      <w:rPr>
        <w:sz w:val="24"/>
        <w:szCs w:val="24"/>
      </w:rPr>
      <w:tblPr/>
      <w:tcPr>
        <w:tcBorders>
          <w:top w:val="nil"/>
          <w:left w:val="nil"/>
          <w:bottom w:val="single" w:color="4EA72E" w:themeColor="accent6" w:sz="24" w:space="0"/>
          <w:right w:val="nil"/>
          <w:insideH w:val="nil"/>
          <w:insideV w:val="nil"/>
        </w:tcBorders>
        <w:shd w:val="clear" w:color="auto" w:fill="FFFFFF" w:themeFill="background1"/>
      </w:tcPr>
    </w:tblStylePr>
    <w:tblStylePr w:type="lastRow">
      <w:tblPr/>
      <w:tcPr>
        <w:tcBorders>
          <w:top w:val="single" w:color="4EA72E"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EA72E" w:themeColor="accent6" w:sz="8" w:space="0"/>
          <w:insideH w:val="nil"/>
          <w:insideV w:val="nil"/>
        </w:tcBorders>
        <w:shd w:val="clear" w:color="auto" w:fill="FFFFFF" w:themeFill="background1"/>
      </w:tcPr>
    </w:tblStylePr>
    <w:tblStylePr w:type="lastCol">
      <w:tblPr/>
      <w:tcPr>
        <w:tcBorders>
          <w:top w:val="nil"/>
          <w:left w:val="single" w:color="4EA72E"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82">
    <w:name w:val="Medium Grid 1"/>
    <w:basedOn w:val="88"/>
    <w:semiHidden/>
    <w:unhideWhenUsed/>
    <w:qFormat/>
    <w:uiPriority w:val="67"/>
    <w:tblPr>
      <w:tblBorders>
        <w:top w:val="single" w:color="3F3F3F" w:themeColor="text1" w:themeTint="BF" w:sz="8" w:space="0"/>
        <w:left w:val="single" w:color="3F3F3F" w:themeColor="text1" w:themeTint="BF" w:sz="8" w:space="0"/>
        <w:bottom w:val="single" w:color="3F3F3F" w:themeColor="text1" w:themeTint="BF" w:sz="8" w:space="0"/>
        <w:right w:val="single" w:color="3F3F3F" w:themeColor="text1" w:themeTint="BF" w:sz="8" w:space="0"/>
        <w:insideH w:val="single" w:color="3F3F3F" w:themeColor="text1" w:themeTint="BF" w:sz="8" w:space="0"/>
        <w:insideV w:val="single" w:color="3F3F3F" w:themeColor="text1" w:themeTint="BF" w:sz="8" w:space="0"/>
      </w:tblBorders>
    </w:tblPr>
    <w:tcPr>
      <w:shd w:val="clear" w:color="auto" w:fill="BFBFBF" w:themeFill="text1" w:themeFillTint="3F"/>
    </w:tcPr>
    <w:tblStylePr w:type="firstRow">
      <w:rPr>
        <w:b/>
        <w:bCs/>
      </w:rPr>
    </w:tblStylePr>
    <w:tblStylePr w:type="lastRow">
      <w:rPr>
        <w:b/>
        <w:bCs/>
      </w:rPr>
      <w:tblPr/>
      <w:tcPr>
        <w:tcBorders>
          <w:top w:val="single" w:color="3F3F3F" w:themeColor="text1" w:themeTint="BF" w:sz="18" w:space="0"/>
        </w:tcBorders>
      </w:tcPr>
    </w:tblStylePr>
    <w:tblStylePr w:type="firstCol">
      <w:rPr>
        <w:b/>
        <w:bCs/>
      </w:rPr>
    </w:tblStylePr>
    <w:tblStylePr w:type="lastCol">
      <w:rPr>
        <w:b/>
        <w:bCs/>
      </w:r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183">
    <w:name w:val="Medium Grid 1 Accent 1"/>
    <w:basedOn w:val="88"/>
    <w:semiHidden/>
    <w:unhideWhenUsed/>
    <w:qFormat/>
    <w:uiPriority w:val="67"/>
    <w:tblPr>
      <w:tblBorders>
        <w:top w:val="single" w:color="2199CF" w:themeColor="accent1" w:themeTint="BF" w:sz="8" w:space="0"/>
        <w:left w:val="single" w:color="2199CF" w:themeColor="accent1" w:themeTint="BF" w:sz="8" w:space="0"/>
        <w:bottom w:val="single" w:color="2199CF" w:themeColor="accent1" w:themeTint="BF" w:sz="8" w:space="0"/>
        <w:right w:val="single" w:color="2199CF" w:themeColor="accent1" w:themeTint="BF" w:sz="8" w:space="0"/>
        <w:insideH w:val="single" w:color="2199CF" w:themeColor="accent1" w:themeTint="BF" w:sz="8" w:space="0"/>
        <w:insideV w:val="single" w:color="2199CF" w:themeColor="accent1" w:themeTint="BF" w:sz="8" w:space="0"/>
      </w:tblBorders>
    </w:tblPr>
    <w:tcPr>
      <w:shd w:val="clear" w:color="auto" w:fill="B2DEF2" w:themeFill="accent1" w:themeFillTint="3F"/>
    </w:tcPr>
    <w:tblStylePr w:type="firstRow">
      <w:rPr>
        <w:b/>
        <w:bCs/>
      </w:rPr>
    </w:tblStylePr>
    <w:tblStylePr w:type="lastRow">
      <w:rPr>
        <w:b/>
        <w:bCs/>
      </w:rPr>
      <w:tblPr/>
      <w:tcPr>
        <w:tcBorders>
          <w:top w:val="single" w:color="2199CF" w:themeColor="accent1" w:themeTint="BF" w:sz="18" w:space="0"/>
        </w:tcBorders>
      </w:tcPr>
    </w:tblStylePr>
    <w:tblStylePr w:type="firstCol">
      <w:rPr>
        <w:b/>
        <w:bCs/>
      </w:rPr>
    </w:tblStylePr>
    <w:tblStylePr w:type="lastCol">
      <w:rPr>
        <w:b/>
        <w:bCs/>
      </w:rPr>
    </w:tblStylePr>
    <w:tblStylePr w:type="band1Vert">
      <w:tblPr/>
      <w:tcPr>
        <w:shd w:val="clear" w:color="auto" w:fill="65BDE6" w:themeFill="accent1" w:themeFillTint="7F"/>
      </w:tcPr>
    </w:tblStylePr>
    <w:tblStylePr w:type="band1Horz">
      <w:tblPr/>
      <w:tcPr>
        <w:shd w:val="clear" w:color="auto" w:fill="65BDE6" w:themeFill="accent1" w:themeFillTint="7F"/>
      </w:tcPr>
    </w:tblStylePr>
  </w:style>
  <w:style w:type="table" w:styleId="184">
    <w:name w:val="Medium Grid 1 Accent 2"/>
    <w:basedOn w:val="88"/>
    <w:semiHidden/>
    <w:unhideWhenUsed/>
    <w:qFormat/>
    <w:uiPriority w:val="67"/>
    <w:tblPr>
      <w:tblBorders>
        <w:top w:val="single" w:color="EE9465" w:themeColor="accent2" w:themeTint="BF" w:sz="8" w:space="0"/>
        <w:left w:val="single" w:color="EE9465" w:themeColor="accent2" w:themeTint="BF" w:sz="8" w:space="0"/>
        <w:bottom w:val="single" w:color="EE9465" w:themeColor="accent2" w:themeTint="BF" w:sz="8" w:space="0"/>
        <w:right w:val="single" w:color="EE9465" w:themeColor="accent2" w:themeTint="BF" w:sz="8" w:space="0"/>
        <w:insideH w:val="single" w:color="EE9465" w:themeColor="accent2" w:themeTint="BF" w:sz="8" w:space="0"/>
        <w:insideV w:val="single" w:color="EE9465" w:themeColor="accent2" w:themeTint="BF" w:sz="8" w:space="0"/>
      </w:tblBorders>
    </w:tblPr>
    <w:tcPr>
      <w:shd w:val="clear" w:color="auto" w:fill="F9DBCC" w:themeFill="accent2" w:themeFillTint="3F"/>
    </w:tcPr>
    <w:tblStylePr w:type="firstRow">
      <w:rPr>
        <w:b/>
        <w:bCs/>
      </w:rPr>
    </w:tblStylePr>
    <w:tblStylePr w:type="lastRow">
      <w:rPr>
        <w:b/>
        <w:bCs/>
      </w:rPr>
      <w:tblPr/>
      <w:tcPr>
        <w:tcBorders>
          <w:top w:val="single" w:color="EE9465" w:themeColor="accent2" w:themeTint="BF" w:sz="18" w:space="0"/>
        </w:tcBorders>
      </w:tcPr>
    </w:tblStylePr>
    <w:tblStylePr w:type="firstCol">
      <w:rPr>
        <w:b/>
        <w:bCs/>
      </w:rPr>
    </w:tblStylePr>
    <w:tblStylePr w:type="lastCol">
      <w:rPr>
        <w:b/>
        <w:bCs/>
      </w:rPr>
    </w:tblStylePr>
    <w:tblStylePr w:type="band1Vert">
      <w:tblPr/>
      <w:tcPr>
        <w:shd w:val="clear" w:color="auto" w:fill="F4B898" w:themeFill="accent2" w:themeFillTint="7F"/>
      </w:tcPr>
    </w:tblStylePr>
    <w:tblStylePr w:type="band1Horz">
      <w:tblPr/>
      <w:tcPr>
        <w:shd w:val="clear" w:color="auto" w:fill="F4B898" w:themeFill="accent2" w:themeFillTint="7F"/>
      </w:tcPr>
    </w:tblStylePr>
  </w:style>
  <w:style w:type="table" w:styleId="185">
    <w:name w:val="Medium Grid 1 Accent 3"/>
    <w:basedOn w:val="88"/>
    <w:semiHidden/>
    <w:unhideWhenUsed/>
    <w:qFormat/>
    <w:uiPriority w:val="67"/>
    <w:tblPr>
      <w:tblBorders>
        <w:top w:val="single" w:color="2AB73D" w:themeColor="accent3" w:themeTint="BF" w:sz="8" w:space="0"/>
        <w:left w:val="single" w:color="2AB73D" w:themeColor="accent3" w:themeTint="BF" w:sz="8" w:space="0"/>
        <w:bottom w:val="single" w:color="2AB73D" w:themeColor="accent3" w:themeTint="BF" w:sz="8" w:space="0"/>
        <w:right w:val="single" w:color="2AB73D" w:themeColor="accent3" w:themeTint="BF" w:sz="8" w:space="0"/>
        <w:insideH w:val="single" w:color="2AB73D" w:themeColor="accent3" w:themeTint="BF" w:sz="8" w:space="0"/>
        <w:insideV w:val="single" w:color="2AB73D" w:themeColor="accent3" w:themeTint="BF" w:sz="8" w:space="0"/>
      </w:tblBorders>
    </w:tblPr>
    <w:tcPr>
      <w:shd w:val="clear" w:color="auto" w:fill="B3EDBB" w:themeFill="accent3" w:themeFillTint="3F"/>
    </w:tcPr>
    <w:tblStylePr w:type="firstRow">
      <w:rPr>
        <w:b/>
        <w:bCs/>
      </w:rPr>
    </w:tblStylePr>
    <w:tblStylePr w:type="lastRow">
      <w:rPr>
        <w:b/>
        <w:bCs/>
      </w:rPr>
      <w:tblPr/>
      <w:tcPr>
        <w:tcBorders>
          <w:top w:val="single" w:color="2AB73D" w:themeColor="accent3" w:themeTint="BF" w:sz="18" w:space="0"/>
        </w:tcBorders>
      </w:tcPr>
    </w:tblStylePr>
    <w:tblStylePr w:type="firstCol">
      <w:rPr>
        <w:b/>
        <w:bCs/>
      </w:rPr>
    </w:tblStylePr>
    <w:tblStylePr w:type="lastCol">
      <w:rPr>
        <w:b/>
        <w:bCs/>
      </w:rPr>
    </w:tblStylePr>
    <w:tblStylePr w:type="band1Vert">
      <w:tblPr/>
      <w:tcPr>
        <w:shd w:val="clear" w:color="auto" w:fill="66DB76" w:themeFill="accent3" w:themeFillTint="7F"/>
      </w:tcPr>
    </w:tblStylePr>
    <w:tblStylePr w:type="band1Horz">
      <w:tblPr/>
      <w:tcPr>
        <w:shd w:val="clear" w:color="auto" w:fill="66DB76" w:themeFill="accent3" w:themeFillTint="7F"/>
      </w:tcPr>
    </w:tblStylePr>
  </w:style>
  <w:style w:type="table" w:styleId="186">
    <w:name w:val="Medium Grid 1 Accent 4"/>
    <w:basedOn w:val="88"/>
    <w:semiHidden/>
    <w:unhideWhenUsed/>
    <w:qFormat/>
    <w:uiPriority w:val="67"/>
    <w:tblPr>
      <w:tblBorders>
        <w:top w:val="single" w:color="39BEF1" w:themeColor="accent4" w:themeTint="BF" w:sz="8" w:space="0"/>
        <w:left w:val="single" w:color="39BEF1" w:themeColor="accent4" w:themeTint="BF" w:sz="8" w:space="0"/>
        <w:bottom w:val="single" w:color="39BEF1" w:themeColor="accent4" w:themeTint="BF" w:sz="8" w:space="0"/>
        <w:right w:val="single" w:color="39BEF1" w:themeColor="accent4" w:themeTint="BF" w:sz="8" w:space="0"/>
        <w:insideH w:val="single" w:color="39BEF1" w:themeColor="accent4" w:themeTint="BF" w:sz="8" w:space="0"/>
        <w:insideV w:val="single" w:color="39BEF1" w:themeColor="accent4" w:themeTint="BF" w:sz="8" w:space="0"/>
      </w:tblBorders>
    </w:tblPr>
    <w:tcPr>
      <w:shd w:val="clear" w:color="auto" w:fill="BDE9FA" w:themeFill="accent4" w:themeFillTint="3F"/>
    </w:tcPr>
    <w:tblStylePr w:type="firstRow">
      <w:rPr>
        <w:b/>
        <w:bCs/>
      </w:rPr>
    </w:tblStylePr>
    <w:tblStylePr w:type="lastRow">
      <w:rPr>
        <w:b/>
        <w:bCs/>
      </w:rPr>
      <w:tblPr/>
      <w:tcPr>
        <w:tcBorders>
          <w:top w:val="single" w:color="39BEF1" w:themeColor="accent4" w:themeTint="BF" w:sz="18" w:space="0"/>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187">
    <w:name w:val="Medium Grid 1 Accent 5"/>
    <w:basedOn w:val="88"/>
    <w:semiHidden/>
    <w:unhideWhenUsed/>
    <w:qFormat/>
    <w:uiPriority w:val="67"/>
    <w:tblPr>
      <w:tblBorders>
        <w:top w:val="single" w:color="CE49BF" w:themeColor="accent5" w:themeTint="BF" w:sz="8" w:space="0"/>
        <w:left w:val="single" w:color="CE49BF" w:themeColor="accent5" w:themeTint="BF" w:sz="8" w:space="0"/>
        <w:bottom w:val="single" w:color="CE49BF" w:themeColor="accent5" w:themeTint="BF" w:sz="8" w:space="0"/>
        <w:right w:val="single" w:color="CE49BF" w:themeColor="accent5" w:themeTint="BF" w:sz="8" w:space="0"/>
        <w:insideH w:val="single" w:color="CE49BF" w:themeColor="accent5" w:themeTint="BF" w:sz="8" w:space="0"/>
        <w:insideV w:val="single" w:color="CE49BF" w:themeColor="accent5" w:themeTint="BF" w:sz="8" w:space="0"/>
      </w:tblBorders>
    </w:tblPr>
    <w:tcPr>
      <w:shd w:val="clear" w:color="auto" w:fill="EEC3EA" w:themeFill="accent5" w:themeFillTint="3F"/>
    </w:tcPr>
    <w:tblStylePr w:type="firstRow">
      <w:rPr>
        <w:b/>
        <w:bCs/>
      </w:rPr>
    </w:tblStylePr>
    <w:tblStylePr w:type="lastRow">
      <w:rPr>
        <w:b/>
        <w:bCs/>
      </w:rPr>
      <w:tblPr/>
      <w:tcPr>
        <w:tcBorders>
          <w:top w:val="single" w:color="CE49BF" w:themeColor="accent5" w:themeTint="BF" w:sz="18" w:space="0"/>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188">
    <w:name w:val="Medium Grid 1 Accent 6"/>
    <w:basedOn w:val="88"/>
    <w:semiHidden/>
    <w:unhideWhenUsed/>
    <w:qFormat/>
    <w:uiPriority w:val="67"/>
    <w:tblPr>
      <w:tblBorders>
        <w:top w:val="single" w:color="72CE50" w:themeColor="accent6" w:themeTint="BF" w:sz="8" w:space="0"/>
        <w:left w:val="single" w:color="72CE50" w:themeColor="accent6" w:themeTint="BF" w:sz="8" w:space="0"/>
        <w:bottom w:val="single" w:color="72CE50" w:themeColor="accent6" w:themeTint="BF" w:sz="8" w:space="0"/>
        <w:right w:val="single" w:color="72CE50" w:themeColor="accent6" w:themeTint="BF" w:sz="8" w:space="0"/>
        <w:insideH w:val="single" w:color="72CE50" w:themeColor="accent6" w:themeTint="BF" w:sz="8" w:space="0"/>
        <w:insideV w:val="single" w:color="72CE50" w:themeColor="accent6" w:themeTint="BF" w:sz="8" w:space="0"/>
      </w:tblBorders>
    </w:tblPr>
    <w:tcPr>
      <w:shd w:val="clear" w:color="auto" w:fill="D0EFC5" w:themeFill="accent6" w:themeFillTint="3F"/>
    </w:tcPr>
    <w:tblStylePr w:type="firstRow">
      <w:rPr>
        <w:b/>
        <w:bCs/>
      </w:rPr>
    </w:tblStylePr>
    <w:tblStylePr w:type="lastRow">
      <w:rPr>
        <w:b/>
        <w:bCs/>
      </w:rPr>
      <w:tblPr/>
      <w:tcPr>
        <w:tcBorders>
          <w:top w:val="single" w:color="72CE50" w:themeColor="accent6" w:themeTint="BF" w:sz="18" w:space="0"/>
        </w:tcBorders>
      </w:tcPr>
    </w:tblStylePr>
    <w:tblStylePr w:type="firstCol">
      <w:rPr>
        <w:b/>
        <w:bCs/>
      </w:rPr>
    </w:tblStylePr>
    <w:tblStylePr w:type="lastCol">
      <w:rPr>
        <w:b/>
        <w:bCs/>
      </w:rPr>
    </w:tblStylePr>
    <w:tblStylePr w:type="band1Vert">
      <w:tblPr/>
      <w:tcPr>
        <w:shd w:val="clear" w:color="auto" w:fill="A1DF8B" w:themeFill="accent6" w:themeFillTint="7F"/>
      </w:tcPr>
    </w:tblStylePr>
    <w:tblStylePr w:type="band1Horz">
      <w:tblPr/>
      <w:tcPr>
        <w:shd w:val="clear" w:color="auto" w:fill="A1DF8B" w:themeFill="accent6" w:themeFillTint="7F"/>
      </w:tcPr>
    </w:tblStylePr>
  </w:style>
  <w:style w:type="table" w:styleId="189">
    <w:name w:val="Medium Grid 2"/>
    <w:basedOn w:val="88"/>
    <w:semiHidden/>
    <w:unhideWhenUsed/>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BFBFBF" w:themeFill="text1" w:themeFillTint="3F"/>
    </w:tcPr>
    <w:tblStylePr w:type="firstRow">
      <w:rPr>
        <w:b/>
        <w:bCs/>
        <w:color w:val="000000" w:themeColor="text1"/>
        <w14:textFill>
          <w14:solidFill>
            <w14:schemeClr w14:val="tx1"/>
          </w14:solidFill>
        </w14:textFill>
      </w:rPr>
      <w:tblPr/>
      <w:tcPr>
        <w:shd w:val="clear" w:color="auto" w:fill="E5E5E5" w:themeFill="tex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7F7F7F" w:themeFill="text1" w:themeFillTint="7F"/>
      </w:tcPr>
    </w:tblStylePr>
    <w:tblStylePr w:type="band1Horz">
      <w:tblPr/>
      <w:tcPr>
        <w:tcBorders>
          <w:insideH w:val="single" w:sz="6" w:space="0"/>
          <w:insideV w:val="single" w:sz="6" w:space="0"/>
        </w:tcBorders>
        <w:shd w:val="clear" w:color="auto" w:fill="7F7F7F" w:themeFill="text1" w:themeFillTint="7F"/>
      </w:tcPr>
    </w:tblStylePr>
    <w:tblStylePr w:type="nwCell">
      <w:tblPr/>
      <w:tcPr>
        <w:shd w:val="clear" w:color="auto" w:fill="FFFFFF" w:themeFill="background1"/>
      </w:tcPr>
    </w:tblStylePr>
  </w:style>
  <w:style w:type="table" w:styleId="190">
    <w:name w:val="Medium Grid 2 Accent 1"/>
    <w:basedOn w:val="88"/>
    <w:semiHidden/>
    <w:unhideWhenUsed/>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156082" w:themeColor="accent1" w:sz="8" w:space="0"/>
        <w:left w:val="single" w:color="156082" w:themeColor="accent1" w:sz="8" w:space="0"/>
        <w:bottom w:val="single" w:color="156082" w:themeColor="accent1" w:sz="8" w:space="0"/>
        <w:right w:val="single" w:color="156082" w:themeColor="accent1" w:sz="8" w:space="0"/>
        <w:insideH w:val="single" w:color="156082" w:themeColor="accent1" w:sz="8" w:space="0"/>
        <w:insideV w:val="single" w:color="156082" w:themeColor="accent1" w:sz="8" w:space="0"/>
      </w:tblBorders>
    </w:tblPr>
    <w:tcPr>
      <w:shd w:val="clear" w:color="auto" w:fill="B2DEF2" w:themeFill="accent1" w:themeFillTint="3F"/>
    </w:tcPr>
    <w:tblStylePr w:type="firstRow">
      <w:rPr>
        <w:b/>
        <w:bCs/>
        <w:color w:val="000000" w:themeColor="text1"/>
        <w14:textFill>
          <w14:solidFill>
            <w14:schemeClr w14:val="tx1"/>
          </w14:solidFill>
        </w14:textFill>
      </w:rPr>
      <w:tblPr/>
      <w:tcPr>
        <w:shd w:val="clear" w:color="auto" w:fill="E0F2FA" w:themeFill="accent1"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5BDE6" w:themeFill="accent1" w:themeFillTint="7F"/>
      </w:tcPr>
    </w:tblStylePr>
    <w:tblStylePr w:type="band1Horz">
      <w:tblPr/>
      <w:tcPr>
        <w:tcBorders>
          <w:insideH w:val="single" w:sz="6" w:space="0"/>
          <w:insideV w:val="single" w:sz="6" w:space="0"/>
        </w:tcBorders>
        <w:shd w:val="clear" w:color="auto" w:fill="65BDE6" w:themeFill="accent1" w:themeFillTint="7F"/>
      </w:tcPr>
    </w:tblStylePr>
    <w:tblStylePr w:type="nwCell">
      <w:tblPr/>
      <w:tcPr>
        <w:shd w:val="clear" w:color="auto" w:fill="FFFFFF" w:themeFill="background1"/>
      </w:tcPr>
    </w:tblStylePr>
  </w:style>
  <w:style w:type="table" w:styleId="191">
    <w:name w:val="Medium Grid 2 Accent 2"/>
    <w:basedOn w:val="88"/>
    <w:semiHidden/>
    <w:unhideWhenUsed/>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E97132" w:themeColor="accent2" w:sz="8" w:space="0"/>
        <w:left w:val="single" w:color="E97132" w:themeColor="accent2" w:sz="8" w:space="0"/>
        <w:bottom w:val="single" w:color="E97132" w:themeColor="accent2" w:sz="8" w:space="0"/>
        <w:right w:val="single" w:color="E97132" w:themeColor="accent2" w:sz="8" w:space="0"/>
        <w:insideH w:val="single" w:color="E97132" w:themeColor="accent2" w:sz="8" w:space="0"/>
        <w:insideV w:val="single" w:color="E97132" w:themeColor="accent2" w:sz="8" w:space="0"/>
      </w:tblBorders>
    </w:tblPr>
    <w:tcPr>
      <w:shd w:val="clear" w:color="auto" w:fill="F9DBCC" w:themeFill="accent2" w:themeFillTint="3F"/>
    </w:tcPr>
    <w:tblStylePr w:type="firstRow">
      <w:rPr>
        <w:b/>
        <w:bCs/>
        <w:color w:val="000000" w:themeColor="text1"/>
        <w14:textFill>
          <w14:solidFill>
            <w14:schemeClr w14:val="tx1"/>
          </w14:solidFill>
        </w14:textFill>
      </w:rPr>
      <w:tblPr/>
      <w:tcPr>
        <w:shd w:val="clear" w:color="auto" w:fill="FCF1EA" w:themeFill="accent2"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898" w:themeFill="accent2" w:themeFillTint="7F"/>
      </w:tcPr>
    </w:tblStylePr>
    <w:tblStylePr w:type="band1Horz">
      <w:tblPr/>
      <w:tcPr>
        <w:tcBorders>
          <w:insideH w:val="single" w:sz="6" w:space="0"/>
          <w:insideV w:val="single" w:sz="6" w:space="0"/>
        </w:tcBorders>
        <w:shd w:val="clear" w:color="auto" w:fill="F4B898" w:themeFill="accent2" w:themeFillTint="7F"/>
      </w:tcPr>
    </w:tblStylePr>
    <w:tblStylePr w:type="nwCell">
      <w:tblPr/>
      <w:tcPr>
        <w:shd w:val="clear" w:color="auto" w:fill="FFFFFF" w:themeFill="background1"/>
      </w:tcPr>
    </w:tblStylePr>
  </w:style>
  <w:style w:type="table" w:styleId="192">
    <w:name w:val="Medium Grid 2 Accent 3"/>
    <w:basedOn w:val="88"/>
    <w:semiHidden/>
    <w:unhideWhenUsed/>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196B24" w:themeColor="accent3" w:sz="8" w:space="0"/>
        <w:left w:val="single" w:color="196B24" w:themeColor="accent3" w:sz="8" w:space="0"/>
        <w:bottom w:val="single" w:color="196B24" w:themeColor="accent3" w:sz="8" w:space="0"/>
        <w:right w:val="single" w:color="196B24" w:themeColor="accent3" w:sz="8" w:space="0"/>
        <w:insideH w:val="single" w:color="196B24" w:themeColor="accent3" w:sz="8" w:space="0"/>
        <w:insideV w:val="single" w:color="196B24" w:themeColor="accent3" w:sz="8" w:space="0"/>
      </w:tblBorders>
    </w:tblPr>
    <w:tcPr>
      <w:shd w:val="clear" w:color="auto" w:fill="B3EDBB" w:themeFill="accent3" w:themeFillTint="3F"/>
    </w:tcPr>
    <w:tblStylePr w:type="firstRow">
      <w:rPr>
        <w:b/>
        <w:bCs/>
        <w:color w:val="000000" w:themeColor="text1"/>
        <w14:textFill>
          <w14:solidFill>
            <w14:schemeClr w14:val="tx1"/>
          </w14:solidFill>
        </w14:textFill>
      </w:rPr>
      <w:tblPr/>
      <w:tcPr>
        <w:shd w:val="clear" w:color="auto" w:fill="E0F7E4" w:themeFill="accent3"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C1F0C8" w:themeFill="accent3" w:themeFillTint="33"/>
      </w:tcPr>
    </w:tblStylePr>
    <w:tblStylePr w:type="band1Vert">
      <w:tblPr/>
      <w:tcPr>
        <w:shd w:val="clear" w:color="auto" w:fill="66DB76" w:themeFill="accent3" w:themeFillTint="7F"/>
      </w:tcPr>
    </w:tblStylePr>
    <w:tblStylePr w:type="band1Horz">
      <w:tblPr/>
      <w:tcPr>
        <w:tcBorders>
          <w:insideH w:val="single" w:sz="6" w:space="0"/>
          <w:insideV w:val="single" w:sz="6" w:space="0"/>
        </w:tcBorders>
        <w:shd w:val="clear" w:color="auto" w:fill="66DB76" w:themeFill="accent3" w:themeFillTint="7F"/>
      </w:tcPr>
    </w:tblStylePr>
    <w:tblStylePr w:type="nwCell">
      <w:tblPr/>
      <w:tcPr>
        <w:shd w:val="clear" w:color="auto" w:fill="FFFFFF" w:themeFill="background1"/>
      </w:tcPr>
    </w:tblStylePr>
  </w:style>
  <w:style w:type="table" w:styleId="193">
    <w:name w:val="Medium Grid 2 Accent 4"/>
    <w:basedOn w:val="88"/>
    <w:semiHidden/>
    <w:unhideWhenUsed/>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0F9ED5" w:themeColor="accent4" w:sz="8" w:space="0"/>
        <w:left w:val="single" w:color="0F9ED5" w:themeColor="accent4" w:sz="8" w:space="0"/>
        <w:bottom w:val="single" w:color="0F9ED5" w:themeColor="accent4" w:sz="8" w:space="0"/>
        <w:right w:val="single" w:color="0F9ED5" w:themeColor="accent4" w:sz="8" w:space="0"/>
        <w:insideH w:val="single" w:color="0F9ED5" w:themeColor="accent4" w:sz="8" w:space="0"/>
        <w:insideV w:val="single" w:color="0F9ED5" w:themeColor="accent4" w:sz="8" w:space="0"/>
      </w:tblBorders>
    </w:tblPr>
    <w:tcPr>
      <w:shd w:val="clear" w:color="auto" w:fill="BDE9FA" w:themeFill="accent4" w:themeFillTint="3F"/>
    </w:tcPr>
    <w:tblStylePr w:type="firstRow">
      <w:rPr>
        <w:b/>
        <w:bCs/>
        <w:color w:val="000000" w:themeColor="text1"/>
        <w14:textFill>
          <w14:solidFill>
            <w14:schemeClr w14:val="tx1"/>
          </w14:solidFill>
        </w14:textFill>
      </w:rPr>
      <w:tblPr/>
      <w:tcPr>
        <w:shd w:val="clear" w:color="auto" w:fill="E5F6FD" w:themeFill="accent4"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insideV w:val="single" w:sz="6" w:space="0"/>
        </w:tcBorders>
        <w:shd w:val="clear" w:color="auto" w:fill="7BD3F5" w:themeFill="accent4" w:themeFillTint="7F"/>
      </w:tcPr>
    </w:tblStylePr>
    <w:tblStylePr w:type="nwCell">
      <w:tblPr/>
      <w:tcPr>
        <w:shd w:val="clear" w:color="auto" w:fill="FFFFFF" w:themeFill="background1"/>
      </w:tcPr>
    </w:tblStylePr>
  </w:style>
  <w:style w:type="table" w:styleId="194">
    <w:name w:val="Medium Grid 2 Accent 5"/>
    <w:basedOn w:val="88"/>
    <w:semiHidden/>
    <w:unhideWhenUsed/>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A02B93" w:themeColor="accent5" w:sz="8" w:space="0"/>
        <w:left w:val="single" w:color="A02B93" w:themeColor="accent5" w:sz="8" w:space="0"/>
        <w:bottom w:val="single" w:color="A02B93" w:themeColor="accent5" w:sz="8" w:space="0"/>
        <w:right w:val="single" w:color="A02B93" w:themeColor="accent5" w:sz="8" w:space="0"/>
        <w:insideH w:val="single" w:color="A02B93" w:themeColor="accent5" w:sz="8" w:space="0"/>
        <w:insideV w:val="single" w:color="A02B93" w:themeColor="accent5" w:sz="8" w:space="0"/>
      </w:tblBorders>
    </w:tblPr>
    <w:tcPr>
      <w:shd w:val="clear" w:color="auto" w:fill="EEC3EA" w:themeFill="accent5" w:themeFillTint="3F"/>
    </w:tcPr>
    <w:tblStylePr w:type="firstRow">
      <w:rPr>
        <w:b/>
        <w:bCs/>
        <w:color w:val="000000" w:themeColor="text1"/>
        <w14:textFill>
          <w14:solidFill>
            <w14:schemeClr w14:val="tx1"/>
          </w14:solidFill>
        </w14:textFill>
      </w:rPr>
      <w:tblPr/>
      <w:tcPr>
        <w:shd w:val="clear" w:color="auto" w:fill="F8E7F6" w:themeFill="accent5"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F1CEEE" w:themeFill="accent5" w:themeFillTint="33"/>
      </w:tcPr>
    </w:tblStylePr>
    <w:tblStylePr w:type="band1Vert">
      <w:tblPr/>
      <w:tcPr>
        <w:shd w:val="clear" w:color="auto" w:fill="DE86D4" w:themeFill="accent5" w:themeFillTint="7F"/>
      </w:tcPr>
    </w:tblStylePr>
    <w:tblStylePr w:type="band1Horz">
      <w:tblPr/>
      <w:tcPr>
        <w:tcBorders>
          <w:insideH w:val="single" w:sz="6" w:space="0"/>
          <w:insideV w:val="single" w:sz="6" w:space="0"/>
        </w:tcBorders>
        <w:shd w:val="clear" w:color="auto" w:fill="DE86D4" w:themeFill="accent5" w:themeFillTint="7F"/>
      </w:tcPr>
    </w:tblStylePr>
    <w:tblStylePr w:type="nwCell">
      <w:tblPr/>
      <w:tcPr>
        <w:shd w:val="clear" w:color="auto" w:fill="FFFFFF" w:themeFill="background1"/>
      </w:tcPr>
    </w:tblStylePr>
  </w:style>
  <w:style w:type="table" w:styleId="195">
    <w:name w:val="Medium Grid 2 Accent 6"/>
    <w:basedOn w:val="88"/>
    <w:semiHidden/>
    <w:unhideWhenUsed/>
    <w:qFormat/>
    <w:uiPriority w:val="68"/>
    <w:rPr>
      <w:rFonts w:asciiTheme="majorHAnsi" w:hAnsiTheme="majorHAnsi" w:eastAsiaTheme="majorEastAsia" w:cstheme="majorBidi"/>
      <w:color w:val="000000" w:themeColor="text1"/>
      <w14:textFill>
        <w14:solidFill>
          <w14:schemeClr w14:val="tx1"/>
        </w14:solidFill>
      </w14:textFill>
    </w:rPr>
    <w:tblPr>
      <w:tblBorders>
        <w:top w:val="single" w:color="4EA72E" w:themeColor="accent6" w:sz="8" w:space="0"/>
        <w:left w:val="single" w:color="4EA72E" w:themeColor="accent6" w:sz="8" w:space="0"/>
        <w:bottom w:val="single" w:color="4EA72E" w:themeColor="accent6" w:sz="8" w:space="0"/>
        <w:right w:val="single" w:color="4EA72E" w:themeColor="accent6" w:sz="8" w:space="0"/>
        <w:insideH w:val="single" w:color="4EA72E" w:themeColor="accent6" w:sz="8" w:space="0"/>
        <w:insideV w:val="single" w:color="4EA72E" w:themeColor="accent6" w:sz="8" w:space="0"/>
      </w:tblBorders>
    </w:tblPr>
    <w:tcPr>
      <w:shd w:val="clear" w:color="auto" w:fill="D0EFC5" w:themeFill="accent6" w:themeFillTint="3F"/>
    </w:tcPr>
    <w:tblStylePr w:type="firstRow">
      <w:rPr>
        <w:b/>
        <w:bCs/>
        <w:color w:val="000000" w:themeColor="text1"/>
        <w14:textFill>
          <w14:solidFill>
            <w14:schemeClr w14:val="tx1"/>
          </w14:solidFill>
        </w14:textFill>
      </w:rPr>
      <w:tblPr/>
      <w:tcPr>
        <w:shd w:val="clear" w:color="auto" w:fill="ECF8E8" w:themeFill="accent6" w:themeFillTint="19"/>
      </w:tcPr>
    </w:tblStylePr>
    <w:tblStylePr w:type="lastRow">
      <w:rPr>
        <w:b/>
        <w:bCs/>
        <w:color w:val="000000" w:themeColor="text1"/>
        <w14:textFill>
          <w14:solidFill>
            <w14:schemeClr w14:val="tx1"/>
          </w14:solidFill>
        </w14:textFill>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14:textFill>
          <w14:solidFill>
            <w14:schemeClr w14:val="tx1"/>
          </w14:solidFill>
        </w14:textFill>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14:textFill>
          <w14:solidFill>
            <w14:schemeClr w14:val="tx1"/>
          </w14:solidFill>
        </w14:textFill>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1DF8B" w:themeFill="accent6" w:themeFillTint="7F"/>
      </w:tcPr>
    </w:tblStylePr>
    <w:tblStylePr w:type="band1Horz">
      <w:tblPr/>
      <w:tcPr>
        <w:tcBorders>
          <w:insideH w:val="single" w:sz="6" w:space="0"/>
          <w:insideV w:val="single" w:sz="6" w:space="0"/>
        </w:tcBorders>
        <w:shd w:val="clear" w:color="auto" w:fill="A1DF8B" w:themeFill="accent6" w:themeFillTint="7F"/>
      </w:tcPr>
    </w:tblStylePr>
    <w:tblStylePr w:type="nwCell">
      <w:tblPr/>
      <w:tcPr>
        <w:shd w:val="clear" w:color="auto" w:fill="FFFFFF" w:themeFill="background1"/>
      </w:tcPr>
    </w:tblStylePr>
  </w:style>
  <w:style w:type="table" w:styleId="196">
    <w:name w:val="Medium Grid 3"/>
    <w:basedOn w:val="88"/>
    <w:semiHidden/>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BFBFBF" w:themeFill="tex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000000" w:themeFill="tex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000000" w:themeFill="tex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F7F7F"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7F7F7F" w:themeFill="text1" w:themeFillTint="7F"/>
      </w:tcPr>
    </w:tblStylePr>
  </w:style>
  <w:style w:type="table" w:styleId="197">
    <w:name w:val="Medium Grid 3 Accent 1"/>
    <w:basedOn w:val="88"/>
    <w:semiHidden/>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B2DEF2" w:themeFill="accent1"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156082" w:themeFill="accent1"/>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156082" w:themeFill="accent1"/>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156082" w:themeFill="accent1"/>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156082"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65BDE6"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65BDE6" w:themeFill="accent1" w:themeFillTint="7F"/>
      </w:tcPr>
    </w:tblStylePr>
  </w:style>
  <w:style w:type="table" w:styleId="198">
    <w:name w:val="Medium Grid 3 Accent 2"/>
    <w:basedOn w:val="88"/>
    <w:semiHidden/>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9DBCC" w:themeFill="accent2"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E97132" w:themeFill="accent2"/>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E97132" w:themeFill="accent2"/>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E97132" w:themeFill="accent2"/>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E97132"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4B898"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F4B898" w:themeFill="accent2" w:themeFillTint="7F"/>
      </w:tcPr>
    </w:tblStylePr>
  </w:style>
  <w:style w:type="table" w:styleId="199">
    <w:name w:val="Medium Grid 3 Accent 3"/>
    <w:basedOn w:val="88"/>
    <w:semiHidden/>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B3EDBB" w:themeFill="accent3"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196B24" w:themeFill="accent3"/>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196B24" w:themeFill="accent3"/>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196B24" w:themeFill="accent3"/>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196B24"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66DB76"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66DB76" w:themeFill="accent3" w:themeFillTint="7F"/>
      </w:tcPr>
    </w:tblStylePr>
  </w:style>
  <w:style w:type="table" w:styleId="200">
    <w:name w:val="Medium Grid 3 Accent 4"/>
    <w:basedOn w:val="88"/>
    <w:semiHidden/>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BDE9FA" w:themeFill="accent4"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0F9ED5" w:themeFill="accent4"/>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0F9ED5" w:themeFill="accent4"/>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0F9ED5" w:themeFill="accent4"/>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0F9ED5"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BD3F5"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7BD3F5" w:themeFill="accent4" w:themeFillTint="7F"/>
      </w:tcPr>
    </w:tblStylePr>
  </w:style>
  <w:style w:type="table" w:styleId="201">
    <w:name w:val="Medium Grid 3 Accent 5"/>
    <w:basedOn w:val="88"/>
    <w:semiHidden/>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EC3EA" w:themeFill="accent5"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A02B93" w:themeFill="accent5"/>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A02B93" w:themeFill="accent5"/>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A02B93" w:themeFill="accent5"/>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A02B93"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E86D4"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DE86D4" w:themeFill="accent5" w:themeFillTint="7F"/>
      </w:tcPr>
    </w:tblStylePr>
  </w:style>
  <w:style w:type="table" w:styleId="202">
    <w:name w:val="Medium Grid 3 Accent 6"/>
    <w:basedOn w:val="88"/>
    <w:semiHidden/>
    <w:unhideWhenUsed/>
    <w:qFormat/>
    <w:uiPriority w:val="69"/>
    <w:tblPr>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0EFC5" w:themeFill="accent6" w:themeFillTint="3F"/>
    </w:tcPr>
    <w:tblStylePr w:type="firstRow">
      <w:rPr>
        <w:b/>
        <w:bCs/>
        <w:i w:val="0"/>
        <w:iCs w:val="0"/>
        <w:color w:val="FFFFFF" w:themeColor="background1"/>
        <w14:textFill>
          <w14:solidFill>
            <w14:schemeClr w14:val="bg1"/>
          </w14:solidFill>
        </w14:textFill>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sz="8" w:space="0"/>
        </w:tcBorders>
        <w:shd w:val="clear" w:color="auto" w:fill="4EA72E" w:themeFill="accent6"/>
      </w:tcPr>
    </w:tblStylePr>
    <w:tblStylePr w:type="lastRow">
      <w:rPr>
        <w:b/>
        <w:bCs/>
        <w:i w:val="0"/>
        <w:iCs w:val="0"/>
        <w:color w:val="FFFFFF" w:themeColor="background1"/>
        <w14:textFill>
          <w14:solidFill>
            <w14:schemeClr w14:val="bg1"/>
          </w14:solidFill>
        </w14:textFill>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sz="8" w:space="0"/>
        </w:tcBorders>
        <w:shd w:val="clear" w:color="auto" w:fill="4EA72E" w:themeFill="accent6"/>
      </w:tcPr>
    </w:tblStylePr>
    <w:tblStylePr w:type="firstCol">
      <w:rPr>
        <w:b/>
        <w:bCs/>
        <w:i w:val="0"/>
        <w:iCs w:val="0"/>
        <w:color w:val="FFFFFF" w:themeColor="background1"/>
        <w14:textFill>
          <w14:solidFill>
            <w14:schemeClr w14:val="bg1"/>
          </w14:solidFill>
        </w14:textFill>
      </w:rPr>
      <w:tblPr/>
      <w:tcPr>
        <w:tcBorders>
          <w:left w:val="single" w:color="FFFFFF" w:themeColor="background1" w:sz="8" w:space="0"/>
          <w:right w:val="single" w:color="FFFFFF" w:themeColor="background1" w:sz="24" w:space="0"/>
          <w:insideH w:val="nil"/>
          <w:insideV w:val="nil"/>
        </w:tcBorders>
        <w:shd w:val="clear" w:color="auto" w:fill="4EA72E" w:themeFill="accent6"/>
      </w:tcPr>
    </w:tblStylePr>
    <w:tblStylePr w:type="lastCol">
      <w:rPr>
        <w:b/>
        <w:bCs/>
        <w:i w:val="0"/>
        <w:iCs w:val="0"/>
        <w:color w:val="FFFFFF" w:themeColor="background1"/>
        <w14:textFill>
          <w14:solidFill>
            <w14:schemeClr w14:val="bg1"/>
          </w14:solidFill>
        </w14:textFill>
      </w:rPr>
      <w:tblPr/>
      <w:tcPr>
        <w:tcBorders>
          <w:top w:val="nil"/>
          <w:left w:val="single" w:color="FFFFFF" w:themeColor="background1" w:sz="24" w:space="0"/>
          <w:bottom w:val="nil"/>
          <w:right w:val="nil"/>
          <w:insideH w:val="nil"/>
          <w:insideV w:val="nil"/>
        </w:tcBorders>
        <w:shd w:val="clear" w:color="auto" w:fill="4EA72E"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1DF8B"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sz="8" w:space="0"/>
          <w:insideV w:val="single" w:sz="8" w:space="0"/>
        </w:tcBorders>
        <w:shd w:val="clear" w:color="auto" w:fill="A1DF8B" w:themeFill="accent6" w:themeFillTint="7F"/>
      </w:tcPr>
    </w:tblStylePr>
  </w:style>
  <w:style w:type="table" w:styleId="203">
    <w:name w:val="Dark List"/>
    <w:basedOn w:val="88"/>
    <w:semiHidden/>
    <w:unhideWhenUsed/>
    <w:qFormat/>
    <w:uiPriority w:val="70"/>
    <w:rPr>
      <w:color w:val="FFFFFF" w:themeColor="background1"/>
      <w14:textFill>
        <w14:solidFill>
          <w14:schemeClr w14:val="bg1"/>
        </w14:solidFill>
      </w14:textFill>
    </w:rPr>
    <w:tblPr>
      <w:tblStyleRowBandSize w:val="1"/>
      <w:tblStyleColBandSize w:val="1"/>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204">
    <w:name w:val="Dark List Accent 1"/>
    <w:basedOn w:val="88"/>
    <w:semiHidden/>
    <w:unhideWhenUsed/>
    <w:qFormat/>
    <w:uiPriority w:val="70"/>
    <w:rPr>
      <w:color w:val="FFFFFF" w:themeColor="background1"/>
      <w14:textFill>
        <w14:solidFill>
          <w14:schemeClr w14:val="bg1"/>
        </w14:solidFill>
      </w14:textFill>
    </w:rPr>
    <w:tblPr>
      <w:tblStyleRowBandSize w:val="1"/>
      <w:tblStyleColBandSize w:val="1"/>
    </w:tblPr>
    <w:tcPr>
      <w:shd w:val="clear" w:color="auto" w:fill="156082"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0F476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205">
    <w:name w:val="Dark List Accent 2"/>
    <w:basedOn w:val="88"/>
    <w:semiHidden/>
    <w:unhideWhenUsed/>
    <w:qFormat/>
    <w:uiPriority w:val="70"/>
    <w:rPr>
      <w:color w:val="FFFFFF" w:themeColor="background1"/>
      <w14:textFill>
        <w14:solidFill>
          <w14:schemeClr w14:val="bg1"/>
        </w14:solidFill>
      </w14:textFill>
    </w:rPr>
    <w:tblPr>
      <w:tblStyleRowBandSize w:val="1"/>
      <w:tblStyleColBandSize w:val="1"/>
    </w:tblPr>
    <w:tcPr>
      <w:shd w:val="clear" w:color="auto" w:fill="E97132"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BF4F1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BF4F14" w:themeFill="accent2" w:themeFillShade="BF"/>
      </w:tcPr>
    </w:tblStylePr>
    <w:tblStylePr w:type="band1Vert">
      <w:tblPr/>
      <w:tcPr>
        <w:tcBorders>
          <w:top w:val="nil"/>
          <w:left w:val="nil"/>
          <w:bottom w:val="nil"/>
          <w:right w:val="nil"/>
          <w:insideH w:val="nil"/>
          <w:insideV w:val="nil"/>
        </w:tcBorders>
        <w:shd w:val="clear" w:color="auto" w:fill="BF4F14" w:themeFill="accent2" w:themeFillShade="BF"/>
      </w:tcPr>
    </w:tblStylePr>
    <w:tblStylePr w:type="band1Horz">
      <w:tblPr/>
      <w:tcPr>
        <w:tcBorders>
          <w:top w:val="nil"/>
          <w:left w:val="nil"/>
          <w:bottom w:val="nil"/>
          <w:right w:val="nil"/>
          <w:insideH w:val="nil"/>
          <w:insideV w:val="nil"/>
        </w:tcBorders>
        <w:shd w:val="clear" w:color="auto" w:fill="BF4F14" w:themeFill="accent2" w:themeFillShade="BF"/>
      </w:tcPr>
    </w:tblStylePr>
  </w:style>
  <w:style w:type="table" w:styleId="206">
    <w:name w:val="Dark List Accent 3"/>
    <w:basedOn w:val="88"/>
    <w:semiHidden/>
    <w:unhideWhenUsed/>
    <w:qFormat/>
    <w:uiPriority w:val="70"/>
    <w:rPr>
      <w:color w:val="FFFFFF" w:themeColor="background1"/>
      <w14:textFill>
        <w14:solidFill>
          <w14:schemeClr w14:val="bg1"/>
        </w14:solidFill>
      </w14:textFill>
    </w:rPr>
    <w:tblPr>
      <w:tblStyleRowBandSize w:val="1"/>
      <w:tblStyleColBandSize w:val="1"/>
    </w:tblPr>
    <w:tcPr>
      <w:shd w:val="clear" w:color="auto" w:fill="196B24"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12501A"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12501A" w:themeFill="accent3" w:themeFillShade="BF"/>
      </w:tcPr>
    </w:tblStylePr>
    <w:tblStylePr w:type="band1Vert">
      <w:tblPr/>
      <w:tcPr>
        <w:tcBorders>
          <w:top w:val="nil"/>
          <w:left w:val="nil"/>
          <w:bottom w:val="nil"/>
          <w:right w:val="nil"/>
          <w:insideH w:val="nil"/>
          <w:insideV w:val="nil"/>
        </w:tcBorders>
        <w:shd w:val="clear" w:color="auto" w:fill="12501A" w:themeFill="accent3" w:themeFillShade="BF"/>
      </w:tcPr>
    </w:tblStylePr>
    <w:tblStylePr w:type="band1Horz">
      <w:tblPr/>
      <w:tcPr>
        <w:tcBorders>
          <w:top w:val="nil"/>
          <w:left w:val="nil"/>
          <w:bottom w:val="nil"/>
          <w:right w:val="nil"/>
          <w:insideH w:val="nil"/>
          <w:insideV w:val="nil"/>
        </w:tcBorders>
        <w:shd w:val="clear" w:color="auto" w:fill="12501A" w:themeFill="accent3" w:themeFillShade="BF"/>
      </w:tcPr>
    </w:tblStylePr>
  </w:style>
  <w:style w:type="table" w:styleId="207">
    <w:name w:val="Dark List Accent 4"/>
    <w:basedOn w:val="88"/>
    <w:semiHidden/>
    <w:unhideWhenUsed/>
    <w:qFormat/>
    <w:uiPriority w:val="70"/>
    <w:rPr>
      <w:color w:val="FFFFFF" w:themeColor="background1"/>
      <w14:textFill>
        <w14:solidFill>
          <w14:schemeClr w14:val="bg1"/>
        </w14:solidFill>
      </w14:textFill>
    </w:rPr>
    <w:tblPr>
      <w:tblStyleRowBandSize w:val="1"/>
      <w:tblStyleColBandSize w:val="1"/>
    </w:tblPr>
    <w:tcPr>
      <w:shd w:val="clear" w:color="auto" w:fill="0F9ED5"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74E6A"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0B769F"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208">
    <w:name w:val="Dark List Accent 5"/>
    <w:basedOn w:val="88"/>
    <w:semiHidden/>
    <w:unhideWhenUsed/>
    <w:qFormat/>
    <w:uiPriority w:val="70"/>
    <w:rPr>
      <w:color w:val="FFFFFF" w:themeColor="background1"/>
      <w14:textFill>
        <w14:solidFill>
          <w14:schemeClr w14:val="bg1"/>
        </w14:solidFill>
      </w14:textFill>
    </w:rPr>
    <w:tblPr>
      <w:tblStyleRowBandSize w:val="1"/>
      <w:tblStyleColBandSize w:val="1"/>
    </w:tblPr>
    <w:tcPr>
      <w:shd w:val="clear" w:color="auto" w:fill="A02B93"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F1549"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77206E"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77206E" w:themeFill="accent5" w:themeFillShade="BF"/>
      </w:tcPr>
    </w:tblStylePr>
    <w:tblStylePr w:type="band1Vert">
      <w:tblPr/>
      <w:tcPr>
        <w:tcBorders>
          <w:top w:val="nil"/>
          <w:left w:val="nil"/>
          <w:bottom w:val="nil"/>
          <w:right w:val="nil"/>
          <w:insideH w:val="nil"/>
          <w:insideV w:val="nil"/>
        </w:tcBorders>
        <w:shd w:val="clear" w:color="auto" w:fill="77206E" w:themeFill="accent5" w:themeFillShade="BF"/>
      </w:tcPr>
    </w:tblStylePr>
    <w:tblStylePr w:type="band1Horz">
      <w:tblPr/>
      <w:tcPr>
        <w:tcBorders>
          <w:top w:val="nil"/>
          <w:left w:val="nil"/>
          <w:bottom w:val="nil"/>
          <w:right w:val="nil"/>
          <w:insideH w:val="nil"/>
          <w:insideV w:val="nil"/>
        </w:tcBorders>
        <w:shd w:val="clear" w:color="auto" w:fill="77206E" w:themeFill="accent5" w:themeFillShade="BF"/>
      </w:tcPr>
    </w:tblStylePr>
  </w:style>
  <w:style w:type="table" w:styleId="209">
    <w:name w:val="Dark List Accent 6"/>
    <w:basedOn w:val="88"/>
    <w:semiHidden/>
    <w:unhideWhenUsed/>
    <w:qFormat/>
    <w:uiPriority w:val="70"/>
    <w:rPr>
      <w:color w:val="FFFFFF" w:themeColor="background1"/>
      <w14:textFill>
        <w14:solidFill>
          <w14:schemeClr w14:val="bg1"/>
        </w14:solidFill>
      </w14:textFill>
    </w:rPr>
    <w:tblPr>
      <w:tblStyleRowBandSize w:val="1"/>
      <w:tblStyleColBandSize w:val="1"/>
    </w:tblPr>
    <w:tcPr>
      <w:shd w:val="clear" w:color="auto" w:fill="4EA72E"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6531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3A7D22"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3A7D22" w:themeFill="accent6" w:themeFillShade="BF"/>
      </w:tcPr>
    </w:tblStylePr>
    <w:tblStylePr w:type="band1Vert">
      <w:tblPr/>
      <w:tcPr>
        <w:tcBorders>
          <w:top w:val="nil"/>
          <w:left w:val="nil"/>
          <w:bottom w:val="nil"/>
          <w:right w:val="nil"/>
          <w:insideH w:val="nil"/>
          <w:insideV w:val="nil"/>
        </w:tcBorders>
        <w:shd w:val="clear" w:color="auto" w:fill="3A7D22" w:themeFill="accent6" w:themeFillShade="BF"/>
      </w:tcPr>
    </w:tblStylePr>
    <w:tblStylePr w:type="band1Horz">
      <w:tblPr/>
      <w:tcPr>
        <w:tcBorders>
          <w:top w:val="nil"/>
          <w:left w:val="nil"/>
          <w:bottom w:val="nil"/>
          <w:right w:val="nil"/>
          <w:insideH w:val="nil"/>
          <w:insideV w:val="nil"/>
        </w:tcBorders>
        <w:shd w:val="clear" w:color="auto" w:fill="3A7D22" w:themeFill="accent6" w:themeFillShade="BF"/>
      </w:tcPr>
    </w:tblStylePr>
  </w:style>
  <w:style w:type="table" w:styleId="210">
    <w:name w:val="Colorful Shading"/>
    <w:basedOn w:val="88"/>
    <w:semiHidden/>
    <w:unhideWhenUsed/>
    <w:qFormat/>
    <w:uiPriority w:val="71"/>
    <w:rPr>
      <w:color w:val="000000" w:themeColor="text1"/>
      <w14:textFill>
        <w14:solidFill>
          <w14:schemeClr w14:val="tx1"/>
        </w14:solidFill>
      </w14:textFill>
    </w:rPr>
    <w:tblPr>
      <w:tblBorders>
        <w:top w:val="single" w:color="E97132"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5E5E5" w:themeFill="text1" w:themeFillTint="19"/>
    </w:tcPr>
    <w:tblStylePr w:type="firstRow">
      <w:rPr>
        <w:b/>
        <w:bCs/>
      </w:rPr>
      <w:tblPr/>
      <w:tcPr>
        <w:tcBorders>
          <w:top w:val="nil"/>
          <w:left w:val="nil"/>
          <w:bottom w:val="single" w:color="E97132"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000000" w:themeFill="tex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000000" w:themeFill="tex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7F7F7F" w:themeFill="tex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11">
    <w:name w:val="Colorful Shading Accent 1"/>
    <w:basedOn w:val="88"/>
    <w:semiHidden/>
    <w:unhideWhenUsed/>
    <w:qFormat/>
    <w:uiPriority w:val="71"/>
    <w:rPr>
      <w:color w:val="000000" w:themeColor="text1"/>
      <w14:textFill>
        <w14:solidFill>
          <w14:schemeClr w14:val="tx1"/>
        </w14:solidFill>
      </w14:textFill>
    </w:rPr>
    <w:tblPr>
      <w:tblBorders>
        <w:top w:val="single" w:color="E97132" w:themeColor="accent2" w:sz="24" w:space="0"/>
        <w:left w:val="single" w:color="156082" w:themeColor="accent1" w:sz="4" w:space="0"/>
        <w:bottom w:val="single" w:color="156082" w:themeColor="accent1" w:sz="4" w:space="0"/>
        <w:right w:val="single" w:color="156082" w:themeColor="accent1" w:sz="4" w:space="0"/>
        <w:insideH w:val="single" w:color="FFFFFF" w:themeColor="background1" w:sz="4" w:space="0"/>
        <w:insideV w:val="single" w:color="FFFFFF" w:themeColor="background1" w:sz="4" w:space="0"/>
      </w:tblBorders>
    </w:tblPr>
    <w:tcPr>
      <w:shd w:val="clear" w:color="auto" w:fill="E0F2FA" w:themeFill="accent1" w:themeFillTint="19"/>
    </w:tcPr>
    <w:tblStylePr w:type="firstRow">
      <w:rPr>
        <w:b/>
        <w:bCs/>
      </w:rPr>
      <w:tblPr/>
      <w:tcPr>
        <w:tcBorders>
          <w:top w:val="nil"/>
          <w:left w:val="nil"/>
          <w:bottom w:val="single" w:color="E97132"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0C394D" w:themeFill="accent1"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0C394D" w:themeFill="accent1"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5BDE6" w:themeFill="accent1"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12">
    <w:name w:val="Colorful Shading Accent 2"/>
    <w:basedOn w:val="88"/>
    <w:semiHidden/>
    <w:unhideWhenUsed/>
    <w:qFormat/>
    <w:uiPriority w:val="71"/>
    <w:rPr>
      <w:color w:val="000000" w:themeColor="text1"/>
      <w14:textFill>
        <w14:solidFill>
          <w14:schemeClr w14:val="tx1"/>
        </w14:solidFill>
      </w14:textFill>
    </w:rPr>
    <w:tblPr>
      <w:tblBorders>
        <w:top w:val="single" w:color="E97132" w:themeColor="accent2" w:sz="24" w:space="0"/>
        <w:left w:val="single" w:color="E97132" w:themeColor="accent2" w:sz="4" w:space="0"/>
        <w:bottom w:val="single" w:color="E97132" w:themeColor="accent2" w:sz="4" w:space="0"/>
        <w:right w:val="single" w:color="E97132" w:themeColor="accent2" w:sz="4" w:space="0"/>
        <w:insideH w:val="single" w:color="FFFFFF" w:themeColor="background1" w:sz="4" w:space="0"/>
        <w:insideV w:val="single" w:color="FFFFFF" w:themeColor="background1" w:sz="4" w:space="0"/>
      </w:tblBorders>
    </w:tblPr>
    <w:tcPr>
      <w:shd w:val="clear" w:color="auto" w:fill="FCF1EA" w:themeFill="accent2" w:themeFillTint="19"/>
    </w:tcPr>
    <w:tblStylePr w:type="firstRow">
      <w:rPr>
        <w:b/>
        <w:bCs/>
      </w:rPr>
      <w:tblPr/>
      <w:tcPr>
        <w:tcBorders>
          <w:top w:val="nil"/>
          <w:left w:val="nil"/>
          <w:bottom w:val="single" w:color="E97132" w:themeColor="accent2"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993F10" w:themeFill="accent2"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993F10" w:themeFill="accent2"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6AC" w:themeFill="accent2" w:themeFillTint="66"/>
      </w:tcPr>
    </w:tblStylePr>
    <w:tblStylePr w:type="band1Horz">
      <w:tblPr/>
      <w:tcPr>
        <w:shd w:val="clear" w:color="auto" w:fill="F4B898" w:themeFill="accent2"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13">
    <w:name w:val="Colorful Shading Accent 3"/>
    <w:basedOn w:val="88"/>
    <w:semiHidden/>
    <w:unhideWhenUsed/>
    <w:qFormat/>
    <w:uiPriority w:val="71"/>
    <w:rPr>
      <w:color w:val="000000" w:themeColor="text1"/>
      <w14:textFill>
        <w14:solidFill>
          <w14:schemeClr w14:val="tx1"/>
        </w14:solidFill>
      </w14:textFill>
    </w:rPr>
    <w:tblPr>
      <w:tblBorders>
        <w:top w:val="single" w:color="0F9ED5" w:themeColor="accent4" w:sz="24" w:space="0"/>
        <w:left w:val="single" w:color="196B24" w:themeColor="accent3" w:sz="4" w:space="0"/>
        <w:bottom w:val="single" w:color="196B24" w:themeColor="accent3" w:sz="4" w:space="0"/>
        <w:right w:val="single" w:color="196B24" w:themeColor="accent3" w:sz="4" w:space="0"/>
        <w:insideH w:val="single" w:color="FFFFFF" w:themeColor="background1" w:sz="4" w:space="0"/>
        <w:insideV w:val="single" w:color="FFFFFF" w:themeColor="background1" w:sz="4" w:space="0"/>
      </w:tblBorders>
    </w:tblPr>
    <w:tcPr>
      <w:shd w:val="clear" w:color="auto" w:fill="E0F7E4" w:themeFill="accent3" w:themeFillTint="19"/>
    </w:tcPr>
    <w:tblStylePr w:type="firstRow">
      <w:rPr>
        <w:b/>
        <w:bCs/>
      </w:rPr>
      <w:tblPr/>
      <w:tcPr>
        <w:tcBorders>
          <w:top w:val="nil"/>
          <w:left w:val="nil"/>
          <w:bottom w:val="single" w:color="0F9ED5" w:themeColor="accent4"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0E4015" w:themeFill="accent3"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0E4015" w:themeFill="accent3"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0E4015" w:themeFill="accent3" w:themeFillShade="99"/>
      </w:tcPr>
    </w:tblStylePr>
    <w:tblStylePr w:type="band1Vert">
      <w:tblPr/>
      <w:tcPr>
        <w:shd w:val="clear" w:color="auto" w:fill="84E291" w:themeFill="accent3" w:themeFillTint="66"/>
      </w:tcPr>
    </w:tblStylePr>
    <w:tblStylePr w:type="band1Horz">
      <w:tblPr/>
      <w:tcPr>
        <w:shd w:val="clear" w:color="auto" w:fill="66DB76" w:themeFill="accent3" w:themeFillTint="7F"/>
      </w:tcPr>
    </w:tblStylePr>
  </w:style>
  <w:style w:type="table" w:styleId="214">
    <w:name w:val="Colorful Shading Accent 4"/>
    <w:basedOn w:val="88"/>
    <w:semiHidden/>
    <w:unhideWhenUsed/>
    <w:qFormat/>
    <w:uiPriority w:val="71"/>
    <w:rPr>
      <w:color w:val="000000" w:themeColor="text1"/>
      <w14:textFill>
        <w14:solidFill>
          <w14:schemeClr w14:val="tx1"/>
        </w14:solidFill>
      </w14:textFill>
    </w:rPr>
    <w:tblPr>
      <w:tblBorders>
        <w:top w:val="single" w:color="196B24" w:themeColor="accent3" w:sz="24" w:space="0"/>
        <w:left w:val="single" w:color="0F9ED5" w:themeColor="accent4" w:sz="4" w:space="0"/>
        <w:bottom w:val="single" w:color="0F9ED5" w:themeColor="accent4" w:sz="4" w:space="0"/>
        <w:right w:val="single" w:color="0F9ED5" w:themeColor="accent4" w:sz="4" w:space="0"/>
        <w:insideH w:val="single" w:color="FFFFFF" w:themeColor="background1" w:sz="4" w:space="0"/>
        <w:insideV w:val="single" w:color="FFFFFF" w:themeColor="background1" w:sz="4" w:space="0"/>
      </w:tblBorders>
    </w:tblPr>
    <w:tcPr>
      <w:shd w:val="clear" w:color="auto" w:fill="E5F6FD" w:themeFill="accent4" w:themeFillTint="19"/>
    </w:tcPr>
    <w:tblStylePr w:type="firstRow">
      <w:rPr>
        <w:b/>
        <w:bCs/>
      </w:rPr>
      <w:tblPr/>
      <w:tcPr>
        <w:tcBorders>
          <w:top w:val="nil"/>
          <w:left w:val="nil"/>
          <w:bottom w:val="single" w:color="196B24" w:themeColor="accent3"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085E7F" w:themeFill="accent4"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085E7F" w:themeFill="accent4"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08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15">
    <w:name w:val="Colorful Shading Accent 5"/>
    <w:basedOn w:val="88"/>
    <w:semiHidden/>
    <w:unhideWhenUsed/>
    <w:qFormat/>
    <w:uiPriority w:val="71"/>
    <w:rPr>
      <w:color w:val="000000" w:themeColor="text1"/>
      <w14:textFill>
        <w14:solidFill>
          <w14:schemeClr w14:val="tx1"/>
        </w14:solidFill>
      </w14:textFill>
    </w:rPr>
    <w:tblPr>
      <w:tblBorders>
        <w:top w:val="single" w:color="4EA72E" w:themeColor="accent6" w:sz="24" w:space="0"/>
        <w:left w:val="single" w:color="A02B93" w:themeColor="accent5" w:sz="4" w:space="0"/>
        <w:bottom w:val="single" w:color="A02B93" w:themeColor="accent5" w:sz="4" w:space="0"/>
        <w:right w:val="single" w:color="A02B93" w:themeColor="accent5" w:sz="4" w:space="0"/>
        <w:insideH w:val="single" w:color="FFFFFF" w:themeColor="background1" w:sz="4" w:space="0"/>
        <w:insideV w:val="single" w:color="FFFFFF" w:themeColor="background1" w:sz="4" w:space="0"/>
      </w:tblBorders>
    </w:tblPr>
    <w:tcPr>
      <w:shd w:val="clear" w:color="auto" w:fill="F8E7F6" w:themeFill="accent5" w:themeFillTint="19"/>
    </w:tcPr>
    <w:tblStylePr w:type="firstRow">
      <w:rPr>
        <w:b/>
        <w:bCs/>
      </w:rPr>
      <w:tblPr/>
      <w:tcPr>
        <w:tcBorders>
          <w:top w:val="nil"/>
          <w:left w:val="nil"/>
          <w:bottom w:val="single" w:color="4EA72E" w:themeColor="accent6"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5F1958" w:themeFill="accent5"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5F1958" w:themeFill="accent5"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5F1958" w:themeFill="accent5" w:themeFillShade="99"/>
      </w:tcPr>
    </w:tblStylePr>
    <w:tblStylePr w:type="band1Vert">
      <w:tblPr/>
      <w:tcPr>
        <w:shd w:val="clear" w:color="auto" w:fill="E49EDD" w:themeFill="accent5" w:themeFillTint="66"/>
      </w:tcPr>
    </w:tblStylePr>
    <w:tblStylePr w:type="band1Horz">
      <w:tblPr/>
      <w:tcPr>
        <w:shd w:val="clear" w:color="auto" w:fill="DE86D4" w:themeFill="accent5"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16">
    <w:name w:val="Colorful Shading Accent 6"/>
    <w:basedOn w:val="88"/>
    <w:semiHidden/>
    <w:unhideWhenUsed/>
    <w:qFormat/>
    <w:uiPriority w:val="71"/>
    <w:rPr>
      <w:color w:val="000000" w:themeColor="text1"/>
      <w14:textFill>
        <w14:solidFill>
          <w14:schemeClr w14:val="tx1"/>
        </w14:solidFill>
      </w14:textFill>
    </w:rPr>
    <w:tblPr>
      <w:tblBorders>
        <w:top w:val="single" w:color="A02B93" w:themeColor="accent5" w:sz="24" w:space="0"/>
        <w:left w:val="single" w:color="4EA72E" w:themeColor="accent6" w:sz="4" w:space="0"/>
        <w:bottom w:val="single" w:color="4EA72E" w:themeColor="accent6" w:sz="4" w:space="0"/>
        <w:right w:val="single" w:color="4EA72E" w:themeColor="accent6" w:sz="4" w:space="0"/>
        <w:insideH w:val="single" w:color="FFFFFF" w:themeColor="background1" w:sz="4" w:space="0"/>
        <w:insideV w:val="single" w:color="FFFFFF" w:themeColor="background1" w:sz="4" w:space="0"/>
      </w:tblBorders>
    </w:tblPr>
    <w:tcPr>
      <w:shd w:val="clear" w:color="auto" w:fill="ECF8E8" w:themeFill="accent6" w:themeFillTint="19"/>
    </w:tcPr>
    <w:tblStylePr w:type="firstRow">
      <w:rPr>
        <w:b/>
        <w:bCs/>
      </w:rPr>
      <w:tblPr/>
      <w:tcPr>
        <w:tcBorders>
          <w:top w:val="nil"/>
          <w:left w:val="nil"/>
          <w:bottom w:val="single" w:color="A02B93" w:themeColor="accent5"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2E641B" w:themeFill="accent6"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2E641B" w:themeFill="accent6"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1DF8B" w:themeFill="accent6" w:themeFillTint="7F"/>
      </w:tcPr>
    </w:tblStylePr>
    <w:tblStylePr w:type="neCell">
      <w:rPr>
        <w:color w:val="000000" w:themeColor="text1"/>
        <w14:textFill>
          <w14:solidFill>
            <w14:schemeClr w14:val="tx1"/>
          </w14:solidFill>
        </w14:textFill>
      </w:rPr>
    </w:tblStylePr>
    <w:tblStylePr w:type="nwCell">
      <w:rPr>
        <w:color w:val="000000" w:themeColor="text1"/>
        <w14:textFill>
          <w14:solidFill>
            <w14:schemeClr w14:val="tx1"/>
          </w14:solidFill>
        </w14:textFill>
      </w:rPr>
    </w:tblStylePr>
  </w:style>
  <w:style w:type="table" w:styleId="217">
    <w:name w:val="Colorful List"/>
    <w:basedOn w:val="88"/>
    <w:semiHidden/>
    <w:unhideWhenUsed/>
    <w:qFormat/>
    <w:uiPriority w:val="72"/>
    <w:rPr>
      <w:color w:val="000000" w:themeColor="text1"/>
      <w14:textFill>
        <w14:solidFill>
          <w14:schemeClr w14:val="tx1"/>
        </w14:solidFill>
      </w14:textFill>
    </w:rPr>
    <w:tblPr>
      <w:tblStyleRowBandSize w:val="1"/>
      <w:tblStyleColBandSize w:val="1"/>
    </w:tblPr>
    <w:tcPr>
      <w:shd w:val="clear" w:color="auto" w:fill="E5E5E5" w:themeFill="tex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CC5415" w:themeFill="accent2" w:themeFillShade="CC"/>
      </w:tcPr>
    </w:tblStylePr>
    <w:tblStylePr w:type="lastRow">
      <w:rPr>
        <w:b/>
        <w:bCs/>
        <w:color w:val="CC5516"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hemeFill="text1" w:themeFillTint="3F"/>
      </w:tcPr>
    </w:tblStylePr>
    <w:tblStylePr w:type="band1Horz">
      <w:tblPr/>
      <w:tcPr>
        <w:shd w:val="clear" w:color="auto" w:fill="CCCCCC" w:themeFill="text1" w:themeFillTint="33"/>
      </w:tcPr>
    </w:tblStylePr>
  </w:style>
  <w:style w:type="table" w:styleId="218">
    <w:name w:val="Colorful List Accent 1"/>
    <w:basedOn w:val="88"/>
    <w:semiHidden/>
    <w:unhideWhenUsed/>
    <w:qFormat/>
    <w:uiPriority w:val="72"/>
    <w:rPr>
      <w:color w:val="000000" w:themeColor="text1"/>
      <w14:textFill>
        <w14:solidFill>
          <w14:schemeClr w14:val="tx1"/>
        </w14:solidFill>
      </w14:textFill>
    </w:rPr>
    <w:tblPr>
      <w:tblStyleRowBandSize w:val="1"/>
      <w:tblStyleColBandSize w:val="1"/>
    </w:tblPr>
    <w:tcPr>
      <w:shd w:val="clear" w:color="auto" w:fill="E0F2FA" w:themeFill="accent1"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CC5415" w:themeFill="accent2" w:themeFillShade="CC"/>
      </w:tcPr>
    </w:tblStylePr>
    <w:tblStylePr w:type="lastRow">
      <w:rPr>
        <w:b/>
        <w:bCs/>
        <w:color w:val="CC5516"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219">
    <w:name w:val="Colorful List Accent 2"/>
    <w:basedOn w:val="88"/>
    <w:semiHidden/>
    <w:unhideWhenUsed/>
    <w:qFormat/>
    <w:uiPriority w:val="72"/>
    <w:rPr>
      <w:color w:val="000000" w:themeColor="text1"/>
      <w14:textFill>
        <w14:solidFill>
          <w14:schemeClr w14:val="tx1"/>
        </w14:solidFill>
      </w14:textFill>
    </w:rPr>
    <w:tblPr>
      <w:tblStyleRowBandSize w:val="1"/>
      <w:tblStyleColBandSize w:val="1"/>
    </w:tblPr>
    <w:tcPr>
      <w:shd w:val="clear" w:color="auto" w:fill="FCF1EA" w:themeFill="accent2"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CC5415" w:themeFill="accent2" w:themeFillShade="CC"/>
      </w:tcPr>
    </w:tblStylePr>
    <w:tblStylePr w:type="lastRow">
      <w:rPr>
        <w:b/>
        <w:bCs/>
        <w:color w:val="CC5516"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220">
    <w:name w:val="Colorful List Accent 3"/>
    <w:basedOn w:val="88"/>
    <w:semiHidden/>
    <w:unhideWhenUsed/>
    <w:qFormat/>
    <w:uiPriority w:val="72"/>
    <w:rPr>
      <w:color w:val="000000" w:themeColor="text1"/>
      <w14:textFill>
        <w14:solidFill>
          <w14:schemeClr w14:val="tx1"/>
        </w14:solidFill>
      </w14:textFill>
    </w:rPr>
    <w:tblPr>
      <w:tblStyleRowBandSize w:val="1"/>
      <w:tblStyleColBandSize w:val="1"/>
    </w:tblPr>
    <w:tcPr>
      <w:shd w:val="clear" w:color="auto" w:fill="E0F7E4" w:themeFill="accent3"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0B7EAA" w:themeFill="accent4" w:themeFillShade="CC"/>
      </w:tcPr>
    </w:tblStylePr>
    <w:tblStylePr w:type="lastRow">
      <w:rPr>
        <w:b/>
        <w:bCs/>
        <w:color w:val="0C7EAA"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B" w:themeFill="accent3" w:themeFillTint="3F"/>
      </w:tcPr>
    </w:tblStylePr>
    <w:tblStylePr w:type="band1Horz">
      <w:tblPr/>
      <w:tcPr>
        <w:shd w:val="clear" w:color="auto" w:fill="C1F0C8" w:themeFill="accent3" w:themeFillTint="33"/>
      </w:tcPr>
    </w:tblStylePr>
  </w:style>
  <w:style w:type="table" w:styleId="221">
    <w:name w:val="Colorful List Accent 4"/>
    <w:basedOn w:val="88"/>
    <w:semiHidden/>
    <w:unhideWhenUsed/>
    <w:qFormat/>
    <w:uiPriority w:val="72"/>
    <w:rPr>
      <w:color w:val="000000" w:themeColor="text1"/>
      <w14:textFill>
        <w14:solidFill>
          <w14:schemeClr w14:val="tx1"/>
        </w14:solidFill>
      </w14:textFill>
    </w:rPr>
    <w:tblPr>
      <w:tblStyleRowBandSize w:val="1"/>
      <w:tblStyleColBandSize w:val="1"/>
    </w:tblPr>
    <w:tcPr>
      <w:shd w:val="clear" w:color="auto" w:fill="E5F6FD" w:themeFill="accent4"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13551C" w:themeFill="accent3" w:themeFillShade="CC"/>
      </w:tcPr>
    </w:tblStylePr>
    <w:tblStylePr w:type="lastRow">
      <w:rPr>
        <w:b/>
        <w:bCs/>
        <w:color w:val="14561D"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222">
    <w:name w:val="Colorful List Accent 5"/>
    <w:basedOn w:val="88"/>
    <w:semiHidden/>
    <w:unhideWhenUsed/>
    <w:qFormat/>
    <w:uiPriority w:val="72"/>
    <w:rPr>
      <w:color w:val="000000" w:themeColor="text1"/>
      <w14:textFill>
        <w14:solidFill>
          <w14:schemeClr w14:val="tx1"/>
        </w14:solidFill>
      </w14:textFill>
    </w:rPr>
    <w:tblPr>
      <w:tblStyleRowBandSize w:val="1"/>
      <w:tblStyleColBandSize w:val="1"/>
    </w:tblPr>
    <w:tcPr>
      <w:shd w:val="clear" w:color="auto" w:fill="F8E7F6" w:themeFill="accent5"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3E8524" w:themeFill="accent6" w:themeFillShade="CC"/>
      </w:tcPr>
    </w:tblStylePr>
    <w:tblStylePr w:type="lastRow">
      <w:rPr>
        <w:b/>
        <w:bCs/>
        <w:color w:val="3E8625"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EC3EA" w:themeFill="accent5" w:themeFillTint="3F"/>
      </w:tcPr>
    </w:tblStylePr>
    <w:tblStylePr w:type="band1Horz">
      <w:tblPr/>
      <w:tcPr>
        <w:shd w:val="clear" w:color="auto" w:fill="F1CEEE" w:themeFill="accent5" w:themeFillTint="33"/>
      </w:tcPr>
    </w:tblStylePr>
  </w:style>
  <w:style w:type="table" w:styleId="223">
    <w:name w:val="Colorful List Accent 6"/>
    <w:basedOn w:val="88"/>
    <w:semiHidden/>
    <w:unhideWhenUsed/>
    <w:qFormat/>
    <w:uiPriority w:val="72"/>
    <w:rPr>
      <w:color w:val="000000" w:themeColor="text1"/>
      <w14:textFill>
        <w14:solidFill>
          <w14:schemeClr w14:val="tx1"/>
        </w14:solidFill>
      </w14:textFill>
    </w:rPr>
    <w:tblPr>
      <w:tblStyleRowBandSize w:val="1"/>
      <w:tblStyleColBandSize w:val="1"/>
    </w:tblPr>
    <w:tcPr>
      <w:shd w:val="clear" w:color="auto" w:fill="ECF8E8" w:themeFill="accent6"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7F2275" w:themeFill="accent5" w:themeFillShade="CC"/>
      </w:tcPr>
    </w:tblStylePr>
    <w:tblStylePr w:type="lastRow">
      <w:rPr>
        <w:b/>
        <w:bCs/>
        <w:color w:val="802276"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224">
    <w:name w:val="Colorful Grid"/>
    <w:basedOn w:val="88"/>
    <w:semiHidden/>
    <w:unhideWhenUsed/>
    <w:qFormat/>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14:textFill>
          <w14:solidFill>
            <w14:schemeClr w14:val="tx1"/>
          </w14:solidFill>
        </w14:textFill>
      </w:rPr>
      <w:tblPr/>
      <w:tcPr>
        <w:shd w:val="clear" w:color="auto" w:fill="999999" w:themeFill="text1" w:themeFillTint="66"/>
      </w:tcPr>
    </w:tblStylePr>
    <w:tblStylePr w:type="firstCol">
      <w:rPr>
        <w:color w:val="FFFFFF" w:themeColor="background1"/>
        <w14:textFill>
          <w14:solidFill>
            <w14:schemeClr w14:val="bg1"/>
          </w14:solidFill>
        </w14:textFill>
      </w:rPr>
      <w:tblPr/>
      <w:tcPr>
        <w:shd w:val="clear" w:color="auto" w:fill="000000" w:themeFill="text1" w:themeFillShade="BF"/>
      </w:tcPr>
    </w:tblStylePr>
    <w:tblStylePr w:type="lastCol">
      <w:rPr>
        <w:color w:val="FFFFFF" w:themeColor="background1"/>
        <w14:textFill>
          <w14:solidFill>
            <w14:schemeClr w14:val="bg1"/>
          </w14:solidFill>
        </w14:textFill>
      </w:rPr>
      <w:tblPr/>
      <w:tcPr>
        <w:shd w:val="clear" w:color="auto" w:fill="000000" w:themeFill="text1" w:themeFillShade="BF"/>
      </w:tcPr>
    </w:tblStylePr>
    <w:tblStylePr w:type="band1Vert">
      <w:tblPr/>
      <w:tcPr>
        <w:shd w:val="clear" w:color="auto" w:fill="7F7F7F" w:themeFill="text1" w:themeFillTint="7F"/>
      </w:tcPr>
    </w:tblStylePr>
    <w:tblStylePr w:type="band1Horz">
      <w:tblPr/>
      <w:tcPr>
        <w:shd w:val="clear" w:color="auto" w:fill="7F7F7F" w:themeFill="text1" w:themeFillTint="7F"/>
      </w:tcPr>
    </w:tblStylePr>
  </w:style>
  <w:style w:type="table" w:styleId="225">
    <w:name w:val="Colorful Grid Accent 1"/>
    <w:basedOn w:val="88"/>
    <w:semiHidden/>
    <w:unhideWhenUsed/>
    <w:qFormat/>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14:textFill>
          <w14:solidFill>
            <w14:schemeClr w14:val="tx1"/>
          </w14:solidFill>
        </w14:textFill>
      </w:rPr>
      <w:tblPr/>
      <w:tcPr>
        <w:shd w:val="clear" w:color="auto" w:fill="83CAEB" w:themeFill="accent1" w:themeFillTint="66"/>
      </w:tcPr>
    </w:tblStylePr>
    <w:tblStylePr w:type="firstCol">
      <w:rPr>
        <w:color w:val="FFFFFF" w:themeColor="background1"/>
        <w14:textFill>
          <w14:solidFill>
            <w14:schemeClr w14:val="bg1"/>
          </w14:solidFill>
        </w14:textFill>
      </w:rPr>
      <w:tblPr/>
      <w:tcPr>
        <w:shd w:val="clear" w:color="auto" w:fill="0F4761" w:themeFill="accent1" w:themeFillShade="BF"/>
      </w:tcPr>
    </w:tblStylePr>
    <w:tblStylePr w:type="lastCol">
      <w:rPr>
        <w:color w:val="FFFFFF" w:themeColor="background1"/>
        <w14:textFill>
          <w14:solidFill>
            <w14:schemeClr w14:val="bg1"/>
          </w14:solidFill>
        </w14:textFill>
      </w:rPr>
      <w:tblPr/>
      <w:tcPr>
        <w:shd w:val="clear" w:color="auto" w:fill="0F4761" w:themeFill="accent1" w:themeFillShade="BF"/>
      </w:tcPr>
    </w:tblStylePr>
    <w:tblStylePr w:type="band1Vert">
      <w:tblPr/>
      <w:tcPr>
        <w:shd w:val="clear" w:color="auto" w:fill="65BDE6" w:themeFill="accent1" w:themeFillTint="7F"/>
      </w:tcPr>
    </w:tblStylePr>
    <w:tblStylePr w:type="band1Horz">
      <w:tblPr/>
      <w:tcPr>
        <w:shd w:val="clear" w:color="auto" w:fill="65BDE6" w:themeFill="accent1" w:themeFillTint="7F"/>
      </w:tcPr>
    </w:tblStylePr>
  </w:style>
  <w:style w:type="table" w:styleId="226">
    <w:name w:val="Colorful Grid Accent 2"/>
    <w:basedOn w:val="88"/>
    <w:semiHidden/>
    <w:unhideWhenUsed/>
    <w:qFormat/>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FAE2D5" w:themeFill="accent2" w:themeFillTint="33"/>
    </w:tcPr>
    <w:tblStylePr w:type="firstRow">
      <w:rPr>
        <w:b/>
        <w:bCs/>
      </w:rPr>
      <w:tblPr/>
      <w:tcPr>
        <w:shd w:val="clear" w:color="auto" w:fill="F6C6AC" w:themeFill="accent2" w:themeFillTint="66"/>
      </w:tcPr>
    </w:tblStylePr>
    <w:tblStylePr w:type="lastRow">
      <w:rPr>
        <w:b/>
        <w:bCs/>
        <w:color w:val="000000" w:themeColor="text1"/>
        <w14:textFill>
          <w14:solidFill>
            <w14:schemeClr w14:val="tx1"/>
          </w14:solidFill>
        </w14:textFill>
      </w:rPr>
      <w:tblPr/>
      <w:tcPr>
        <w:shd w:val="clear" w:color="auto" w:fill="F6C6AC" w:themeFill="accent2" w:themeFillTint="66"/>
      </w:tcPr>
    </w:tblStylePr>
    <w:tblStylePr w:type="firstCol">
      <w:rPr>
        <w:color w:val="FFFFFF" w:themeColor="background1"/>
        <w14:textFill>
          <w14:solidFill>
            <w14:schemeClr w14:val="bg1"/>
          </w14:solidFill>
        </w14:textFill>
      </w:rPr>
      <w:tblPr/>
      <w:tcPr>
        <w:shd w:val="clear" w:color="auto" w:fill="BF4F14" w:themeFill="accent2" w:themeFillShade="BF"/>
      </w:tcPr>
    </w:tblStylePr>
    <w:tblStylePr w:type="lastCol">
      <w:rPr>
        <w:color w:val="FFFFFF" w:themeColor="background1"/>
        <w14:textFill>
          <w14:solidFill>
            <w14:schemeClr w14:val="bg1"/>
          </w14:solidFill>
        </w14:textFill>
      </w:rPr>
      <w:tblPr/>
      <w:tcPr>
        <w:shd w:val="clear" w:color="auto" w:fill="BF4F14" w:themeFill="accent2" w:themeFillShade="BF"/>
      </w:tcPr>
    </w:tblStylePr>
    <w:tblStylePr w:type="band1Vert">
      <w:tblPr/>
      <w:tcPr>
        <w:shd w:val="clear" w:color="auto" w:fill="F4B898" w:themeFill="accent2" w:themeFillTint="7F"/>
      </w:tcPr>
    </w:tblStylePr>
    <w:tblStylePr w:type="band1Horz">
      <w:tblPr/>
      <w:tcPr>
        <w:shd w:val="clear" w:color="auto" w:fill="F4B898" w:themeFill="accent2" w:themeFillTint="7F"/>
      </w:tcPr>
    </w:tblStylePr>
  </w:style>
  <w:style w:type="table" w:styleId="227">
    <w:name w:val="Colorful Grid Accent 3"/>
    <w:basedOn w:val="88"/>
    <w:semiHidden/>
    <w:unhideWhenUsed/>
    <w:qFormat/>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C1F0C8" w:themeFill="accent3" w:themeFillTint="33"/>
    </w:tcPr>
    <w:tblStylePr w:type="firstRow">
      <w:rPr>
        <w:b/>
        <w:bCs/>
      </w:rPr>
      <w:tblPr/>
      <w:tcPr>
        <w:shd w:val="clear" w:color="auto" w:fill="84E291" w:themeFill="accent3" w:themeFillTint="66"/>
      </w:tcPr>
    </w:tblStylePr>
    <w:tblStylePr w:type="lastRow">
      <w:rPr>
        <w:b/>
        <w:bCs/>
        <w:color w:val="000000" w:themeColor="text1"/>
        <w14:textFill>
          <w14:solidFill>
            <w14:schemeClr w14:val="tx1"/>
          </w14:solidFill>
        </w14:textFill>
      </w:rPr>
      <w:tblPr/>
      <w:tcPr>
        <w:shd w:val="clear" w:color="auto" w:fill="84E291" w:themeFill="accent3" w:themeFillTint="66"/>
      </w:tcPr>
    </w:tblStylePr>
    <w:tblStylePr w:type="firstCol">
      <w:rPr>
        <w:color w:val="FFFFFF" w:themeColor="background1"/>
        <w14:textFill>
          <w14:solidFill>
            <w14:schemeClr w14:val="bg1"/>
          </w14:solidFill>
        </w14:textFill>
      </w:rPr>
      <w:tblPr/>
      <w:tcPr>
        <w:shd w:val="clear" w:color="auto" w:fill="12501A" w:themeFill="accent3" w:themeFillShade="BF"/>
      </w:tcPr>
    </w:tblStylePr>
    <w:tblStylePr w:type="lastCol">
      <w:rPr>
        <w:color w:val="FFFFFF" w:themeColor="background1"/>
        <w14:textFill>
          <w14:solidFill>
            <w14:schemeClr w14:val="bg1"/>
          </w14:solidFill>
        </w14:textFill>
      </w:rPr>
      <w:tblPr/>
      <w:tcPr>
        <w:shd w:val="clear" w:color="auto" w:fill="12501A" w:themeFill="accent3" w:themeFillShade="BF"/>
      </w:tcPr>
    </w:tblStylePr>
    <w:tblStylePr w:type="band1Vert">
      <w:tblPr/>
      <w:tcPr>
        <w:shd w:val="clear" w:color="auto" w:fill="66DB76" w:themeFill="accent3" w:themeFillTint="7F"/>
      </w:tcPr>
    </w:tblStylePr>
    <w:tblStylePr w:type="band1Horz">
      <w:tblPr/>
      <w:tcPr>
        <w:shd w:val="clear" w:color="auto" w:fill="66DB76" w:themeFill="accent3" w:themeFillTint="7F"/>
      </w:tcPr>
    </w:tblStylePr>
  </w:style>
  <w:style w:type="table" w:styleId="228">
    <w:name w:val="Colorful Grid Accent 4"/>
    <w:basedOn w:val="88"/>
    <w:semiHidden/>
    <w:unhideWhenUsed/>
    <w:qFormat/>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14:textFill>
          <w14:solidFill>
            <w14:schemeClr w14:val="tx1"/>
          </w14:solidFill>
        </w14:textFill>
      </w:rPr>
      <w:tblPr/>
      <w:tcPr>
        <w:shd w:val="clear" w:color="auto" w:fill="95DCF7" w:themeFill="accent4" w:themeFillTint="66"/>
      </w:tcPr>
    </w:tblStylePr>
    <w:tblStylePr w:type="firstCol">
      <w:rPr>
        <w:color w:val="FFFFFF" w:themeColor="background1"/>
        <w14:textFill>
          <w14:solidFill>
            <w14:schemeClr w14:val="bg1"/>
          </w14:solidFill>
        </w14:textFill>
      </w:rPr>
      <w:tblPr/>
      <w:tcPr>
        <w:shd w:val="clear" w:color="auto" w:fill="0B769F" w:themeFill="accent4" w:themeFillShade="BF"/>
      </w:tcPr>
    </w:tblStylePr>
    <w:tblStylePr w:type="lastCol">
      <w:rPr>
        <w:color w:val="FFFFFF" w:themeColor="background1"/>
        <w14:textFill>
          <w14:solidFill>
            <w14:schemeClr w14:val="bg1"/>
          </w14:solidFill>
        </w14:textFill>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229">
    <w:name w:val="Colorful Grid Accent 5"/>
    <w:basedOn w:val="88"/>
    <w:semiHidden/>
    <w:unhideWhenUsed/>
    <w:qFormat/>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F1CEEE" w:themeFill="accent5" w:themeFillTint="33"/>
    </w:tcPr>
    <w:tblStylePr w:type="firstRow">
      <w:rPr>
        <w:b/>
        <w:bCs/>
      </w:rPr>
      <w:tblPr/>
      <w:tcPr>
        <w:shd w:val="clear" w:color="auto" w:fill="E49EDD" w:themeFill="accent5" w:themeFillTint="66"/>
      </w:tcPr>
    </w:tblStylePr>
    <w:tblStylePr w:type="lastRow">
      <w:rPr>
        <w:b/>
        <w:bCs/>
        <w:color w:val="000000" w:themeColor="text1"/>
        <w14:textFill>
          <w14:solidFill>
            <w14:schemeClr w14:val="tx1"/>
          </w14:solidFill>
        </w14:textFill>
      </w:rPr>
      <w:tblPr/>
      <w:tcPr>
        <w:shd w:val="clear" w:color="auto" w:fill="E49EDD" w:themeFill="accent5" w:themeFillTint="66"/>
      </w:tcPr>
    </w:tblStylePr>
    <w:tblStylePr w:type="firstCol">
      <w:rPr>
        <w:color w:val="FFFFFF" w:themeColor="background1"/>
        <w14:textFill>
          <w14:solidFill>
            <w14:schemeClr w14:val="bg1"/>
          </w14:solidFill>
        </w14:textFill>
      </w:rPr>
      <w:tblPr/>
      <w:tcPr>
        <w:shd w:val="clear" w:color="auto" w:fill="77206E" w:themeFill="accent5" w:themeFillShade="BF"/>
      </w:tcPr>
    </w:tblStylePr>
    <w:tblStylePr w:type="lastCol">
      <w:rPr>
        <w:color w:val="FFFFFF" w:themeColor="background1"/>
        <w14:textFill>
          <w14:solidFill>
            <w14:schemeClr w14:val="bg1"/>
          </w14:solidFill>
        </w14:textFill>
      </w:rPr>
      <w:tblPr/>
      <w:tcPr>
        <w:shd w:val="clear" w:color="auto" w:fill="77206E"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230">
    <w:name w:val="Colorful Grid Accent 6"/>
    <w:basedOn w:val="88"/>
    <w:semiHidden/>
    <w:unhideWhenUsed/>
    <w:qFormat/>
    <w:uiPriority w:val="73"/>
    <w:rPr>
      <w:color w:val="000000" w:themeColor="text1"/>
      <w14:textFill>
        <w14:solidFill>
          <w14:schemeClr w14:val="tx1"/>
        </w14:solidFill>
      </w14:textFill>
    </w:rPr>
    <w:tblPr>
      <w:tblBorders>
        <w:insideH w:val="single" w:color="FFFFFF" w:themeColor="background1" w:sz="4" w:space="0"/>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14:textFill>
          <w14:solidFill>
            <w14:schemeClr w14:val="tx1"/>
          </w14:solidFill>
        </w14:textFill>
      </w:rPr>
      <w:tblPr/>
      <w:tcPr>
        <w:shd w:val="clear" w:color="auto" w:fill="B3E5A1" w:themeFill="accent6" w:themeFillTint="66"/>
      </w:tcPr>
    </w:tblStylePr>
    <w:tblStylePr w:type="firstCol">
      <w:rPr>
        <w:color w:val="FFFFFF" w:themeColor="background1"/>
        <w14:textFill>
          <w14:solidFill>
            <w14:schemeClr w14:val="bg1"/>
          </w14:solidFill>
        </w14:textFill>
      </w:rPr>
      <w:tblPr/>
      <w:tcPr>
        <w:shd w:val="clear" w:color="auto" w:fill="3A7D22" w:themeFill="accent6" w:themeFillShade="BF"/>
      </w:tcPr>
    </w:tblStylePr>
    <w:tblStylePr w:type="lastCol">
      <w:rPr>
        <w:color w:val="FFFFFF" w:themeColor="background1"/>
        <w14:textFill>
          <w14:solidFill>
            <w14:schemeClr w14:val="bg1"/>
          </w14:solidFill>
        </w14:textFill>
      </w:rPr>
      <w:tblPr/>
      <w:tcPr>
        <w:shd w:val="clear" w:color="auto" w:fill="3A7D22" w:themeFill="accent6" w:themeFillShade="BF"/>
      </w:tcPr>
    </w:tblStylePr>
    <w:tblStylePr w:type="band1Vert">
      <w:tblPr/>
      <w:tcPr>
        <w:shd w:val="clear" w:color="auto" w:fill="A1DF8B" w:themeFill="accent6" w:themeFillTint="7F"/>
      </w:tcPr>
    </w:tblStylePr>
    <w:tblStylePr w:type="band1Horz">
      <w:tblPr/>
      <w:tcPr>
        <w:shd w:val="clear" w:color="auto" w:fill="A1DF8B" w:themeFill="accent6" w:themeFillTint="7F"/>
      </w:tcPr>
    </w:tblStylePr>
  </w:style>
  <w:style w:type="character" w:styleId="232">
    <w:name w:val="Strong"/>
    <w:basedOn w:val="231"/>
    <w:qFormat/>
    <w:uiPriority w:val="22"/>
    <w:rPr>
      <w:b/>
      <w:bCs/>
    </w:rPr>
  </w:style>
  <w:style w:type="character" w:styleId="233">
    <w:name w:val="endnote reference"/>
    <w:basedOn w:val="231"/>
    <w:semiHidden/>
    <w:unhideWhenUsed/>
    <w:qFormat/>
    <w:uiPriority w:val="99"/>
    <w:rPr>
      <w:vertAlign w:val="superscript"/>
    </w:rPr>
  </w:style>
  <w:style w:type="character" w:styleId="234">
    <w:name w:val="page number"/>
    <w:basedOn w:val="231"/>
    <w:semiHidden/>
    <w:unhideWhenUsed/>
    <w:qFormat/>
    <w:uiPriority w:val="99"/>
  </w:style>
  <w:style w:type="character" w:styleId="235">
    <w:name w:val="FollowedHyperlink"/>
    <w:basedOn w:val="231"/>
    <w:semiHidden/>
    <w:unhideWhenUsed/>
    <w:qFormat/>
    <w:uiPriority w:val="99"/>
    <w:rPr>
      <w:color w:val="96607D" w:themeColor="followedHyperlink"/>
      <w:u w:val="single"/>
      <w14:textFill>
        <w14:solidFill>
          <w14:schemeClr w14:val="folHlink"/>
        </w14:solidFill>
      </w14:textFill>
    </w:rPr>
  </w:style>
  <w:style w:type="character" w:styleId="236">
    <w:name w:val="Emphasis"/>
    <w:basedOn w:val="231"/>
    <w:qFormat/>
    <w:uiPriority w:val="20"/>
    <w:rPr>
      <w:i/>
      <w:iCs/>
    </w:rPr>
  </w:style>
  <w:style w:type="character" w:styleId="237">
    <w:name w:val="line number"/>
    <w:basedOn w:val="231"/>
    <w:semiHidden/>
    <w:unhideWhenUsed/>
    <w:qFormat/>
    <w:uiPriority w:val="99"/>
  </w:style>
  <w:style w:type="character" w:styleId="238">
    <w:name w:val="HTML Definition"/>
    <w:basedOn w:val="231"/>
    <w:semiHidden/>
    <w:unhideWhenUsed/>
    <w:qFormat/>
    <w:uiPriority w:val="99"/>
    <w:rPr>
      <w:i/>
      <w:iCs/>
    </w:rPr>
  </w:style>
  <w:style w:type="character" w:styleId="239">
    <w:name w:val="HTML Typewriter"/>
    <w:basedOn w:val="231"/>
    <w:semiHidden/>
    <w:unhideWhenUsed/>
    <w:qFormat/>
    <w:uiPriority w:val="99"/>
    <w:rPr>
      <w:rFonts w:ascii="Courier New" w:hAnsi="Courier New" w:cs="Courier New"/>
      <w:sz w:val="20"/>
      <w:szCs w:val="20"/>
    </w:rPr>
  </w:style>
  <w:style w:type="character" w:styleId="240">
    <w:name w:val="HTML Acronym"/>
    <w:basedOn w:val="231"/>
    <w:semiHidden/>
    <w:unhideWhenUsed/>
    <w:qFormat/>
    <w:uiPriority w:val="99"/>
  </w:style>
  <w:style w:type="character" w:styleId="241">
    <w:name w:val="HTML Variable"/>
    <w:basedOn w:val="231"/>
    <w:semiHidden/>
    <w:unhideWhenUsed/>
    <w:qFormat/>
    <w:uiPriority w:val="99"/>
    <w:rPr>
      <w:i/>
      <w:iCs/>
    </w:rPr>
  </w:style>
  <w:style w:type="character" w:styleId="242">
    <w:name w:val="Hyperlink"/>
    <w:basedOn w:val="231"/>
    <w:unhideWhenUsed/>
    <w:qFormat/>
    <w:uiPriority w:val="99"/>
    <w:rPr>
      <w:color w:val="467886" w:themeColor="hyperlink"/>
      <w:u w:val="single"/>
      <w14:textFill>
        <w14:solidFill>
          <w14:schemeClr w14:val="hlink"/>
        </w14:solidFill>
      </w14:textFill>
    </w:rPr>
  </w:style>
  <w:style w:type="character" w:styleId="243">
    <w:name w:val="HTML Code"/>
    <w:basedOn w:val="231"/>
    <w:semiHidden/>
    <w:unhideWhenUsed/>
    <w:qFormat/>
    <w:uiPriority w:val="99"/>
    <w:rPr>
      <w:rFonts w:ascii="Courier New" w:hAnsi="Courier New" w:cs="Courier New"/>
      <w:sz w:val="20"/>
      <w:szCs w:val="20"/>
    </w:rPr>
  </w:style>
  <w:style w:type="character" w:styleId="244">
    <w:name w:val="annotation reference"/>
    <w:basedOn w:val="231"/>
    <w:semiHidden/>
    <w:unhideWhenUsed/>
    <w:qFormat/>
    <w:uiPriority w:val="99"/>
    <w:rPr>
      <w:sz w:val="21"/>
      <w:szCs w:val="21"/>
    </w:rPr>
  </w:style>
  <w:style w:type="character" w:styleId="245">
    <w:name w:val="HTML Cite"/>
    <w:basedOn w:val="231"/>
    <w:semiHidden/>
    <w:unhideWhenUsed/>
    <w:qFormat/>
    <w:uiPriority w:val="99"/>
    <w:rPr>
      <w:i/>
      <w:iCs/>
    </w:rPr>
  </w:style>
  <w:style w:type="character" w:styleId="246">
    <w:name w:val="footnote reference"/>
    <w:basedOn w:val="231"/>
    <w:semiHidden/>
    <w:unhideWhenUsed/>
    <w:qFormat/>
    <w:uiPriority w:val="99"/>
    <w:rPr>
      <w:vertAlign w:val="superscript"/>
    </w:rPr>
  </w:style>
  <w:style w:type="character" w:styleId="247">
    <w:name w:val="HTML Keyboard"/>
    <w:basedOn w:val="231"/>
    <w:semiHidden/>
    <w:unhideWhenUsed/>
    <w:qFormat/>
    <w:uiPriority w:val="99"/>
    <w:rPr>
      <w:rFonts w:ascii="Courier New" w:hAnsi="Courier New" w:cs="Courier New"/>
      <w:sz w:val="20"/>
      <w:szCs w:val="20"/>
    </w:rPr>
  </w:style>
  <w:style w:type="character" w:styleId="248">
    <w:name w:val="HTML Sample"/>
    <w:basedOn w:val="231"/>
    <w:semiHidden/>
    <w:unhideWhenUsed/>
    <w:qFormat/>
    <w:uiPriority w:val="99"/>
    <w:rPr>
      <w:rFonts w:ascii="Courier New" w:hAnsi="Courier New" w:cs="Courier New"/>
    </w:rPr>
  </w:style>
  <w:style w:type="character" w:customStyle="1" w:styleId="249">
    <w:name w:val="页眉 字符"/>
    <w:basedOn w:val="231"/>
    <w:link w:val="57"/>
    <w:qFormat/>
    <w:uiPriority w:val="99"/>
    <w:rPr>
      <w:sz w:val="18"/>
      <w:szCs w:val="18"/>
    </w:rPr>
  </w:style>
  <w:style w:type="character" w:customStyle="1" w:styleId="250">
    <w:name w:val="页脚 字符"/>
    <w:basedOn w:val="231"/>
    <w:link w:val="55"/>
    <w:qFormat/>
    <w:uiPriority w:val="99"/>
    <w:rPr>
      <w:sz w:val="18"/>
      <w:szCs w:val="18"/>
    </w:rPr>
  </w:style>
  <w:style w:type="paragraph" w:styleId="251">
    <w:name w:val="List Paragraph"/>
    <w:basedOn w:val="1"/>
    <w:qFormat/>
    <w:uiPriority w:val="34"/>
    <w:pPr>
      <w:ind w:firstLine="420" w:firstLineChars="200"/>
    </w:pPr>
  </w:style>
  <w:style w:type="character" w:customStyle="1" w:styleId="252">
    <w:name w:val="font21"/>
    <w:basedOn w:val="231"/>
    <w:qFormat/>
    <w:uiPriority w:val="0"/>
    <w:rPr>
      <w:rFonts w:hint="eastAsia" w:ascii="宋体" w:hAnsi="宋体" w:eastAsia="宋体"/>
      <w:color w:val="000000"/>
      <w:sz w:val="21"/>
      <w:szCs w:val="21"/>
      <w:u w:val="none"/>
    </w:rPr>
  </w:style>
  <w:style w:type="character" w:customStyle="1" w:styleId="253">
    <w:name w:val="font11"/>
    <w:basedOn w:val="231"/>
    <w:qFormat/>
    <w:uiPriority w:val="0"/>
    <w:rPr>
      <w:rFonts w:hint="default" w:ascii="Arial Narrow" w:hAnsi="Arial Narrow"/>
      <w:color w:val="000000"/>
      <w:sz w:val="21"/>
      <w:szCs w:val="21"/>
      <w:u w:val="none"/>
    </w:rPr>
  </w:style>
  <w:style w:type="character" w:customStyle="1" w:styleId="254">
    <w:name w:val="未处理的提及1"/>
    <w:basedOn w:val="231"/>
    <w:semiHidden/>
    <w:unhideWhenUsed/>
    <w:qFormat/>
    <w:uiPriority w:val="99"/>
    <w:rPr>
      <w:color w:val="605E5C"/>
      <w:shd w:val="clear" w:color="auto" w:fill="E1DFDD"/>
    </w:rPr>
  </w:style>
  <w:style w:type="character" w:styleId="255">
    <w:name w:val="Placeholder Text"/>
    <w:basedOn w:val="231"/>
    <w:semiHidden/>
    <w:qFormat/>
    <w:uiPriority w:val="99"/>
    <w:rPr>
      <w:color w:val="666666"/>
    </w:rPr>
  </w:style>
  <w:style w:type="character" w:customStyle="1" w:styleId="256">
    <w:name w:val="日期 字符"/>
    <w:basedOn w:val="231"/>
    <w:link w:val="50"/>
    <w:semiHidden/>
    <w:qFormat/>
    <w:uiPriority w:val="99"/>
  </w:style>
  <w:style w:type="character" w:customStyle="1" w:styleId="257">
    <w:name w:val="font41"/>
    <w:basedOn w:val="231"/>
    <w:qFormat/>
    <w:uiPriority w:val="0"/>
    <w:rPr>
      <w:rFonts w:hint="eastAsia" w:ascii="宋体" w:hAnsi="宋体" w:eastAsia="宋体"/>
      <w:b/>
      <w:bCs/>
      <w:color w:val="000000"/>
      <w:sz w:val="44"/>
      <w:szCs w:val="44"/>
      <w:u w:val="none"/>
    </w:rPr>
  </w:style>
  <w:style w:type="character" w:customStyle="1" w:styleId="258">
    <w:name w:val="font51"/>
    <w:basedOn w:val="231"/>
    <w:qFormat/>
    <w:uiPriority w:val="0"/>
    <w:rPr>
      <w:rFonts w:hint="eastAsia" w:ascii="宋体" w:hAnsi="宋体" w:eastAsia="宋体"/>
      <w:b/>
      <w:bCs/>
      <w:color w:val="000000"/>
      <w:sz w:val="46"/>
      <w:szCs w:val="46"/>
      <w:u w:val="none"/>
    </w:rPr>
  </w:style>
  <w:style w:type="character" w:customStyle="1" w:styleId="259">
    <w:name w:val="font61"/>
    <w:basedOn w:val="231"/>
    <w:qFormat/>
    <w:uiPriority w:val="0"/>
    <w:rPr>
      <w:rFonts w:hint="eastAsia" w:ascii="宋体" w:hAnsi="宋体" w:eastAsia="宋体"/>
      <w:color w:val="000000"/>
      <w:sz w:val="36"/>
      <w:szCs w:val="36"/>
      <w:u w:val="none"/>
    </w:rPr>
  </w:style>
  <w:style w:type="character" w:customStyle="1" w:styleId="260">
    <w:name w:val="标题 1 字符"/>
    <w:basedOn w:val="231"/>
    <w:link w:val="3"/>
    <w:qFormat/>
    <w:uiPriority w:val="9"/>
    <w:rPr>
      <w:rFonts w:asciiTheme="minorHAnsi" w:hAnsiTheme="minorHAnsi" w:eastAsiaTheme="minorEastAsia" w:cstheme="minorBidi"/>
      <w:b/>
      <w:bCs/>
      <w:kern w:val="44"/>
      <w:sz w:val="44"/>
      <w:szCs w:val="44"/>
      <w14:ligatures w14:val="standardContextual"/>
    </w:rPr>
  </w:style>
  <w:style w:type="paragraph" w:customStyle="1" w:styleId="261">
    <w:name w:val="TOC 标题1"/>
    <w:basedOn w:val="3"/>
    <w:next w:val="1"/>
    <w:unhideWhenUsed/>
    <w:qFormat/>
    <w:uiPriority w:val="39"/>
    <w:pPr>
      <w:widowControl/>
      <w:spacing w:before="240" w:after="0" w:line="259" w:lineRule="auto"/>
      <w:outlineLvl w:val="9"/>
    </w:pPr>
    <w:rPr>
      <w:rFonts w:asciiTheme="majorHAnsi" w:hAnsiTheme="majorHAnsi" w:eastAsiaTheme="majorEastAsia" w:cstheme="majorBidi"/>
      <w:b w:val="0"/>
      <w:bCs w:val="0"/>
      <w:color w:val="104862" w:themeColor="accent1" w:themeShade="BF"/>
      <w:kern w:val="0"/>
      <w:sz w:val="32"/>
      <w:szCs w:val="32"/>
      <w14:ligatures w14:val="none"/>
    </w:rPr>
  </w:style>
  <w:style w:type="character" w:customStyle="1" w:styleId="262">
    <w:name w:val="批注框文本 字符"/>
    <w:basedOn w:val="231"/>
    <w:link w:val="54"/>
    <w:semiHidden/>
    <w:qFormat/>
    <w:uiPriority w:val="99"/>
    <w:rPr>
      <w:rFonts w:asciiTheme="minorHAnsi" w:hAnsiTheme="minorHAnsi" w:eastAsiaTheme="minorEastAsia" w:cstheme="minorBidi"/>
      <w:kern w:val="2"/>
      <w:sz w:val="18"/>
      <w:szCs w:val="18"/>
      <w14:ligatures w14:val="standardContextual"/>
    </w:rPr>
  </w:style>
  <w:style w:type="character" w:customStyle="1" w:styleId="263">
    <w:name w:val="批注文字 字符"/>
    <w:basedOn w:val="231"/>
    <w:link w:val="28"/>
    <w:semiHidden/>
    <w:qFormat/>
    <w:uiPriority w:val="99"/>
    <w:rPr>
      <w:rFonts w:asciiTheme="minorHAnsi" w:hAnsiTheme="minorHAnsi" w:eastAsiaTheme="minorEastAsia" w:cstheme="minorBidi"/>
      <w:kern w:val="2"/>
      <w:sz w:val="22"/>
      <w:szCs w:val="24"/>
      <w14:ligatures w14:val="standardContextual"/>
    </w:rPr>
  </w:style>
  <w:style w:type="character" w:customStyle="1" w:styleId="264">
    <w:name w:val="批注主题 字符"/>
    <w:basedOn w:val="263"/>
    <w:link w:val="85"/>
    <w:semiHidden/>
    <w:qFormat/>
    <w:uiPriority w:val="99"/>
    <w:rPr>
      <w:rFonts w:asciiTheme="minorHAnsi" w:hAnsiTheme="minorHAnsi" w:eastAsiaTheme="minorEastAsia" w:cstheme="minorBidi"/>
      <w:b/>
      <w:bCs/>
      <w:kern w:val="2"/>
      <w:sz w:val="22"/>
      <w:szCs w:val="24"/>
      <w14:ligatures w14:val="standardContextual"/>
    </w:rPr>
  </w:style>
  <w:style w:type="character" w:customStyle="1" w:styleId="265">
    <w:name w:val="@他1"/>
    <w:basedOn w:val="231"/>
    <w:semiHidden/>
    <w:unhideWhenUsed/>
    <w:qFormat/>
    <w:uiPriority w:val="99"/>
    <w:rPr>
      <w:color w:val="2B579A"/>
      <w:shd w:val="clear" w:color="auto" w:fill="E1DFDD"/>
    </w:rPr>
  </w:style>
  <w:style w:type="character" w:customStyle="1" w:styleId="266">
    <w:name w:val="HTML 地址 字符"/>
    <w:basedOn w:val="231"/>
    <w:link w:val="41"/>
    <w:semiHidden/>
    <w:qFormat/>
    <w:uiPriority w:val="99"/>
    <w:rPr>
      <w:rFonts w:asciiTheme="minorHAnsi" w:hAnsiTheme="minorHAnsi" w:eastAsiaTheme="minorEastAsia" w:cstheme="minorBidi"/>
      <w:i/>
      <w:iCs/>
      <w:kern w:val="2"/>
      <w:sz w:val="22"/>
      <w:szCs w:val="24"/>
      <w14:ligatures w14:val="standardContextual"/>
    </w:rPr>
  </w:style>
  <w:style w:type="character" w:customStyle="1" w:styleId="267">
    <w:name w:val="HTML 预设格式 字符"/>
    <w:basedOn w:val="231"/>
    <w:link w:val="80"/>
    <w:semiHidden/>
    <w:qFormat/>
    <w:uiPriority w:val="99"/>
    <w:rPr>
      <w:rFonts w:ascii="Courier New" w:hAnsi="Courier New" w:cs="Courier New" w:eastAsiaTheme="minorEastAsia"/>
      <w:kern w:val="2"/>
      <w14:ligatures w14:val="standardContextual"/>
    </w:rPr>
  </w:style>
  <w:style w:type="paragraph" w:customStyle="1" w:styleId="268">
    <w:name w:val="TOC 标题2"/>
    <w:basedOn w:val="3"/>
    <w:next w:val="1"/>
    <w:semiHidden/>
    <w:unhideWhenUsed/>
    <w:qFormat/>
    <w:uiPriority w:val="39"/>
    <w:pPr>
      <w:outlineLvl w:val="9"/>
    </w:pPr>
  </w:style>
  <w:style w:type="character" w:customStyle="1" w:styleId="269">
    <w:name w:val="标题 字符"/>
    <w:basedOn w:val="231"/>
    <w:link w:val="84"/>
    <w:qFormat/>
    <w:uiPriority w:val="10"/>
    <w:rPr>
      <w:rFonts w:asciiTheme="majorHAnsi" w:hAnsiTheme="majorHAnsi" w:eastAsiaTheme="majorEastAsia" w:cstheme="majorBidi"/>
      <w:b/>
      <w:bCs/>
      <w:kern w:val="2"/>
      <w:sz w:val="32"/>
      <w:szCs w:val="32"/>
      <w14:ligatures w14:val="standardContextual"/>
    </w:rPr>
  </w:style>
  <w:style w:type="character" w:customStyle="1" w:styleId="270">
    <w:name w:val="标题 2 字符"/>
    <w:basedOn w:val="231"/>
    <w:link w:val="4"/>
    <w:semiHidden/>
    <w:qFormat/>
    <w:uiPriority w:val="9"/>
    <w:rPr>
      <w:rFonts w:asciiTheme="majorHAnsi" w:hAnsiTheme="majorHAnsi" w:eastAsiaTheme="majorEastAsia" w:cstheme="majorBidi"/>
      <w:b/>
      <w:bCs/>
      <w:kern w:val="2"/>
      <w:sz w:val="32"/>
      <w:szCs w:val="32"/>
      <w14:ligatures w14:val="standardContextual"/>
    </w:rPr>
  </w:style>
  <w:style w:type="character" w:customStyle="1" w:styleId="271">
    <w:name w:val="标题 3 字符"/>
    <w:basedOn w:val="231"/>
    <w:link w:val="5"/>
    <w:semiHidden/>
    <w:qFormat/>
    <w:uiPriority w:val="9"/>
    <w:rPr>
      <w:rFonts w:asciiTheme="minorHAnsi" w:hAnsiTheme="minorHAnsi" w:eastAsiaTheme="minorEastAsia" w:cstheme="minorBidi"/>
      <w:b/>
      <w:bCs/>
      <w:kern w:val="2"/>
      <w:sz w:val="32"/>
      <w:szCs w:val="32"/>
      <w14:ligatures w14:val="standardContextual"/>
    </w:rPr>
  </w:style>
  <w:style w:type="character" w:customStyle="1" w:styleId="272">
    <w:name w:val="标题 4 字符"/>
    <w:basedOn w:val="231"/>
    <w:link w:val="6"/>
    <w:semiHidden/>
    <w:qFormat/>
    <w:uiPriority w:val="9"/>
    <w:rPr>
      <w:rFonts w:asciiTheme="majorHAnsi" w:hAnsiTheme="majorHAnsi" w:eastAsiaTheme="majorEastAsia" w:cstheme="majorBidi"/>
      <w:b/>
      <w:bCs/>
      <w:kern w:val="2"/>
      <w:sz w:val="28"/>
      <w:szCs w:val="28"/>
      <w14:ligatures w14:val="standardContextual"/>
    </w:rPr>
  </w:style>
  <w:style w:type="character" w:customStyle="1" w:styleId="273">
    <w:name w:val="标题 5 字符"/>
    <w:basedOn w:val="231"/>
    <w:link w:val="7"/>
    <w:semiHidden/>
    <w:qFormat/>
    <w:uiPriority w:val="9"/>
    <w:rPr>
      <w:rFonts w:asciiTheme="minorHAnsi" w:hAnsiTheme="minorHAnsi" w:eastAsiaTheme="minorEastAsia" w:cstheme="minorBidi"/>
      <w:b/>
      <w:bCs/>
      <w:kern w:val="2"/>
      <w:sz w:val="28"/>
      <w:szCs w:val="28"/>
      <w14:ligatures w14:val="standardContextual"/>
    </w:rPr>
  </w:style>
  <w:style w:type="character" w:customStyle="1" w:styleId="274">
    <w:name w:val="标题 6 字符"/>
    <w:basedOn w:val="231"/>
    <w:link w:val="8"/>
    <w:semiHidden/>
    <w:qFormat/>
    <w:uiPriority w:val="9"/>
    <w:rPr>
      <w:rFonts w:asciiTheme="majorHAnsi" w:hAnsiTheme="majorHAnsi" w:eastAsiaTheme="majorEastAsia" w:cstheme="majorBidi"/>
      <w:b/>
      <w:bCs/>
      <w:kern w:val="2"/>
      <w:sz w:val="24"/>
      <w:szCs w:val="24"/>
      <w14:ligatures w14:val="standardContextual"/>
    </w:rPr>
  </w:style>
  <w:style w:type="character" w:customStyle="1" w:styleId="275">
    <w:name w:val="标题 7 字符"/>
    <w:basedOn w:val="231"/>
    <w:link w:val="9"/>
    <w:semiHidden/>
    <w:qFormat/>
    <w:uiPriority w:val="9"/>
    <w:rPr>
      <w:rFonts w:asciiTheme="minorHAnsi" w:hAnsiTheme="minorHAnsi" w:eastAsiaTheme="minorEastAsia" w:cstheme="minorBidi"/>
      <w:b/>
      <w:bCs/>
      <w:kern w:val="2"/>
      <w:sz w:val="24"/>
      <w:szCs w:val="24"/>
      <w14:ligatures w14:val="standardContextual"/>
    </w:rPr>
  </w:style>
  <w:style w:type="character" w:customStyle="1" w:styleId="276">
    <w:name w:val="标题 8 字符"/>
    <w:basedOn w:val="231"/>
    <w:link w:val="10"/>
    <w:semiHidden/>
    <w:qFormat/>
    <w:uiPriority w:val="9"/>
    <w:rPr>
      <w:rFonts w:asciiTheme="majorHAnsi" w:hAnsiTheme="majorHAnsi" w:eastAsiaTheme="majorEastAsia" w:cstheme="majorBidi"/>
      <w:kern w:val="2"/>
      <w:sz w:val="24"/>
      <w:szCs w:val="24"/>
      <w14:ligatures w14:val="standardContextual"/>
    </w:rPr>
  </w:style>
  <w:style w:type="character" w:customStyle="1" w:styleId="277">
    <w:name w:val="标题 9 字符"/>
    <w:basedOn w:val="231"/>
    <w:link w:val="11"/>
    <w:semiHidden/>
    <w:qFormat/>
    <w:uiPriority w:val="9"/>
    <w:rPr>
      <w:rFonts w:asciiTheme="majorHAnsi" w:hAnsiTheme="majorHAnsi" w:eastAsiaTheme="majorEastAsia" w:cstheme="majorBidi"/>
      <w:kern w:val="2"/>
      <w:sz w:val="21"/>
      <w:szCs w:val="21"/>
      <w14:ligatures w14:val="standardContextual"/>
    </w:rPr>
  </w:style>
  <w:style w:type="character" w:customStyle="1" w:styleId="278">
    <w:name w:val="不明显参考1"/>
    <w:basedOn w:val="231"/>
    <w:qFormat/>
    <w:uiPriority w:val="31"/>
    <w:rPr>
      <w:smallCaps/>
      <w:color w:val="595959" w:themeColor="text1" w:themeTint="A6"/>
      <w14:textFill>
        <w14:solidFill>
          <w14:schemeClr w14:val="tx1">
            <w14:lumMod w14:val="65000"/>
            <w14:lumOff w14:val="35000"/>
          </w14:schemeClr>
        </w14:solidFill>
      </w14:textFill>
    </w:rPr>
  </w:style>
  <w:style w:type="character" w:customStyle="1" w:styleId="279">
    <w:name w:val="不明显强调1"/>
    <w:basedOn w:val="231"/>
    <w:qFormat/>
    <w:uiPriority w:val="19"/>
    <w:rPr>
      <w:i/>
      <w:iCs/>
      <w:color w:val="404040" w:themeColor="text1" w:themeTint="BF"/>
      <w14:textFill>
        <w14:solidFill>
          <w14:schemeClr w14:val="tx1">
            <w14:lumMod w14:val="75000"/>
            <w14:lumOff w14:val="25000"/>
          </w14:schemeClr>
        </w14:solidFill>
      </w14:textFill>
    </w:rPr>
  </w:style>
  <w:style w:type="character" w:customStyle="1" w:styleId="280">
    <w:name w:val="称呼 字符"/>
    <w:basedOn w:val="231"/>
    <w:link w:val="30"/>
    <w:semiHidden/>
    <w:qFormat/>
    <w:uiPriority w:val="99"/>
    <w:rPr>
      <w:rFonts w:asciiTheme="minorHAnsi" w:hAnsiTheme="minorHAnsi" w:eastAsiaTheme="minorEastAsia" w:cstheme="minorBidi"/>
      <w:kern w:val="2"/>
      <w:sz w:val="22"/>
      <w:szCs w:val="24"/>
      <w14:ligatures w14:val="standardContextual"/>
    </w:rPr>
  </w:style>
  <w:style w:type="character" w:customStyle="1" w:styleId="281">
    <w:name w:val="纯文本 字符"/>
    <w:basedOn w:val="231"/>
    <w:link w:val="45"/>
    <w:semiHidden/>
    <w:qFormat/>
    <w:uiPriority w:val="99"/>
    <w:rPr>
      <w:rFonts w:hAnsi="Courier New" w:cs="Courier New" w:asciiTheme="minorEastAsia" w:eastAsiaTheme="minorEastAsia"/>
      <w:kern w:val="2"/>
      <w:sz w:val="22"/>
      <w:szCs w:val="24"/>
      <w14:ligatures w14:val="standardContextual"/>
    </w:rPr>
  </w:style>
  <w:style w:type="character" w:customStyle="1" w:styleId="282">
    <w:name w:val="电子邮件签名 字符"/>
    <w:basedOn w:val="231"/>
    <w:link w:val="19"/>
    <w:semiHidden/>
    <w:qFormat/>
    <w:uiPriority w:val="99"/>
    <w:rPr>
      <w:rFonts w:asciiTheme="minorHAnsi" w:hAnsiTheme="minorHAnsi" w:eastAsiaTheme="minorEastAsia" w:cstheme="minorBidi"/>
      <w:kern w:val="2"/>
      <w:sz w:val="22"/>
      <w:szCs w:val="24"/>
      <w14:ligatures w14:val="standardContextual"/>
    </w:rPr>
  </w:style>
  <w:style w:type="character" w:customStyle="1" w:styleId="283">
    <w:name w:val="副标题 字符"/>
    <w:basedOn w:val="231"/>
    <w:link w:val="64"/>
    <w:qFormat/>
    <w:uiPriority w:val="11"/>
    <w:rPr>
      <w:rFonts w:asciiTheme="minorHAnsi" w:hAnsiTheme="minorHAnsi" w:eastAsiaTheme="minorEastAsia" w:cstheme="minorBidi"/>
      <w:b/>
      <w:bCs/>
      <w:kern w:val="28"/>
      <w:sz w:val="32"/>
      <w:szCs w:val="32"/>
      <w14:ligatures w14:val="standardContextual"/>
    </w:rPr>
  </w:style>
  <w:style w:type="character" w:customStyle="1" w:styleId="284">
    <w:name w:val="宏文本 字符"/>
    <w:basedOn w:val="231"/>
    <w:link w:val="2"/>
    <w:semiHidden/>
    <w:qFormat/>
    <w:uiPriority w:val="99"/>
    <w:rPr>
      <w:rFonts w:ascii="Courier New" w:hAnsi="Courier New" w:cs="Courier New"/>
      <w:kern w:val="2"/>
      <w:sz w:val="24"/>
      <w:szCs w:val="24"/>
      <w14:ligatures w14:val="standardContextual"/>
    </w:rPr>
  </w:style>
  <w:style w:type="character" w:customStyle="1" w:styleId="285">
    <w:name w:val="脚注文本 字符"/>
    <w:basedOn w:val="231"/>
    <w:link w:val="67"/>
    <w:semiHidden/>
    <w:qFormat/>
    <w:uiPriority w:val="99"/>
    <w:rPr>
      <w:rFonts w:asciiTheme="minorHAnsi" w:hAnsiTheme="minorHAnsi" w:eastAsiaTheme="minorEastAsia" w:cstheme="minorBidi"/>
      <w:kern w:val="2"/>
      <w:sz w:val="18"/>
      <w:szCs w:val="18"/>
      <w14:ligatures w14:val="standardContextual"/>
    </w:rPr>
  </w:style>
  <w:style w:type="character" w:customStyle="1" w:styleId="286">
    <w:name w:val="结束语 字符"/>
    <w:basedOn w:val="231"/>
    <w:link w:val="32"/>
    <w:semiHidden/>
    <w:qFormat/>
    <w:uiPriority w:val="99"/>
    <w:rPr>
      <w:rFonts w:asciiTheme="minorHAnsi" w:hAnsiTheme="minorHAnsi" w:eastAsiaTheme="minorEastAsia" w:cstheme="minorBidi"/>
      <w:kern w:val="2"/>
      <w:sz w:val="22"/>
      <w:szCs w:val="24"/>
      <w14:ligatures w14:val="standardContextual"/>
    </w:rPr>
  </w:style>
  <w:style w:type="character" w:customStyle="1" w:styleId="287">
    <w:name w:val="井号标签1"/>
    <w:basedOn w:val="231"/>
    <w:semiHidden/>
    <w:unhideWhenUsed/>
    <w:qFormat/>
    <w:uiPriority w:val="99"/>
    <w:rPr>
      <w:color w:val="2B579A"/>
      <w:shd w:val="clear" w:color="auto" w:fill="E1DFDD"/>
    </w:rPr>
  </w:style>
  <w:style w:type="character" w:customStyle="1" w:styleId="288">
    <w:name w:val="明显参考1"/>
    <w:basedOn w:val="231"/>
    <w:qFormat/>
    <w:uiPriority w:val="32"/>
    <w:rPr>
      <w:b/>
      <w:bCs/>
      <w:smallCaps/>
      <w:color w:val="156082" w:themeColor="accent1"/>
      <w:spacing w:val="5"/>
      <w14:textFill>
        <w14:solidFill>
          <w14:schemeClr w14:val="accent1"/>
        </w14:solidFill>
      </w14:textFill>
    </w:rPr>
  </w:style>
  <w:style w:type="character" w:customStyle="1" w:styleId="289">
    <w:name w:val="明显强调1"/>
    <w:basedOn w:val="231"/>
    <w:qFormat/>
    <w:uiPriority w:val="21"/>
    <w:rPr>
      <w:i/>
      <w:iCs/>
      <w:color w:val="156082" w:themeColor="accent1"/>
      <w14:textFill>
        <w14:solidFill>
          <w14:schemeClr w14:val="accent1"/>
        </w14:solidFill>
      </w14:textFill>
    </w:rPr>
  </w:style>
  <w:style w:type="paragraph" w:styleId="290">
    <w:name w:val="Intense Quote"/>
    <w:basedOn w:val="1"/>
    <w:next w:val="1"/>
    <w:link w:val="291"/>
    <w:semiHidden/>
    <w:unhideWhenUsed/>
    <w:qFormat/>
    <w:uiPriority w:val="99"/>
    <w:pPr>
      <w:pBdr>
        <w:top w:val="single" w:color="156082" w:themeColor="accent1" w:sz="4" w:space="10"/>
        <w:bottom w:val="single" w:color="156082" w:themeColor="accent1" w:sz="4" w:space="10"/>
      </w:pBdr>
      <w:spacing w:before="360" w:after="360"/>
      <w:ind w:left="864" w:right="864"/>
      <w:jc w:val="center"/>
    </w:pPr>
    <w:rPr>
      <w:i/>
      <w:iCs/>
      <w:color w:val="156082" w:themeColor="accent1"/>
      <w14:textFill>
        <w14:solidFill>
          <w14:schemeClr w14:val="accent1"/>
        </w14:solidFill>
      </w14:textFill>
    </w:rPr>
  </w:style>
  <w:style w:type="character" w:customStyle="1" w:styleId="291">
    <w:name w:val="明显引用 字符"/>
    <w:basedOn w:val="231"/>
    <w:link w:val="290"/>
    <w:semiHidden/>
    <w:qFormat/>
    <w:uiPriority w:val="99"/>
    <w:rPr>
      <w:rFonts w:asciiTheme="minorHAnsi" w:hAnsiTheme="minorHAnsi" w:eastAsiaTheme="minorEastAsia" w:cstheme="minorBidi"/>
      <w:i/>
      <w:iCs/>
      <w:color w:val="156082" w:themeColor="accent1"/>
      <w:kern w:val="2"/>
      <w:sz w:val="22"/>
      <w:szCs w:val="24"/>
      <w14:textFill>
        <w14:solidFill>
          <w14:schemeClr w14:val="accent1"/>
        </w14:solidFill>
      </w14:textFill>
      <w14:ligatures w14:val="standardContextual"/>
    </w:rPr>
  </w:style>
  <w:style w:type="character" w:customStyle="1" w:styleId="292">
    <w:name w:val="签名 字符"/>
    <w:basedOn w:val="231"/>
    <w:link w:val="58"/>
    <w:semiHidden/>
    <w:qFormat/>
    <w:uiPriority w:val="99"/>
    <w:rPr>
      <w:rFonts w:asciiTheme="minorHAnsi" w:hAnsiTheme="minorHAnsi" w:eastAsiaTheme="minorEastAsia" w:cstheme="minorBidi"/>
      <w:kern w:val="2"/>
      <w:sz w:val="22"/>
      <w:szCs w:val="24"/>
      <w14:ligatures w14:val="standardContextual"/>
    </w:rPr>
  </w:style>
  <w:style w:type="table" w:customStyle="1" w:styleId="293">
    <w:name w:val="清单表 1 浅色1"/>
    <w:basedOn w:val="88"/>
    <w:qFormat/>
    <w:uiPriority w:val="46"/>
    <w:tblStylePr w:type="firstRow">
      <w:rPr>
        <w:b/>
        <w:bCs/>
      </w:rPr>
      <w:tcPr>
        <w:tcBorders>
          <w:bottom w:val="single" w:color="666666" w:themeColor="text1" w:themeTint="99" w:sz="4" w:space="0"/>
        </w:tcBorders>
      </w:tcPr>
    </w:tblStylePr>
    <w:tblStylePr w:type="lastRow">
      <w:rPr>
        <w:b/>
        <w:bCs/>
      </w:rPr>
      <w:tcPr>
        <w:tcBorders>
          <w:top w:val="single" w:color="666666" w:themeColor="text1" w:themeTint="99"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294">
    <w:name w:val="清单表 1 浅色 - 着色 11"/>
    <w:basedOn w:val="88"/>
    <w:qFormat/>
    <w:uiPriority w:val="46"/>
    <w:tblStylePr w:type="firstRow">
      <w:rPr>
        <w:b/>
        <w:bCs/>
      </w:rPr>
      <w:tcPr>
        <w:tcBorders>
          <w:bottom w:val="single" w:color="45B0E1" w:themeColor="accent1" w:themeTint="99" w:sz="4" w:space="0"/>
        </w:tcBorders>
      </w:tcPr>
    </w:tblStylePr>
    <w:tblStylePr w:type="lastRow">
      <w:rPr>
        <w:b/>
        <w:bCs/>
      </w:rPr>
      <w:tcPr>
        <w:tcBorders>
          <w:top w:val="single" w:color="45B0E1" w:themeColor="accent1" w:themeTint="99" w:sz="4" w:space="0"/>
        </w:tcBorders>
      </w:tcPr>
    </w:tblStylePr>
    <w:tblStylePr w:type="firstCol">
      <w:rPr>
        <w:b/>
        <w:bCs/>
      </w:rPr>
    </w:tblStylePr>
    <w:tblStylePr w:type="lastCol">
      <w:rPr>
        <w:b/>
        <w:bCs/>
      </w:rPr>
    </w:tblStylePr>
    <w:tblStylePr w:type="band1Vert">
      <w:tcPr>
        <w:shd w:val="clear" w:color="auto" w:fill="C1E4F5" w:themeFill="accent1" w:themeFillTint="33"/>
      </w:tcPr>
    </w:tblStylePr>
    <w:tblStylePr w:type="band1Horz">
      <w:tcPr>
        <w:shd w:val="clear" w:color="auto" w:fill="C1E4F5" w:themeFill="accent1" w:themeFillTint="33"/>
      </w:tcPr>
    </w:tblStylePr>
  </w:style>
  <w:style w:type="table" w:customStyle="1" w:styleId="295">
    <w:name w:val="清单表 1 浅色 - 着色 21"/>
    <w:basedOn w:val="88"/>
    <w:qFormat/>
    <w:uiPriority w:val="46"/>
    <w:tblStylePr w:type="firstRow">
      <w:rPr>
        <w:b/>
        <w:bCs/>
      </w:rPr>
      <w:tcPr>
        <w:tcBorders>
          <w:bottom w:val="single" w:color="F1A983" w:themeColor="accent2" w:themeTint="99" w:sz="4" w:space="0"/>
        </w:tcBorders>
      </w:tcPr>
    </w:tblStylePr>
    <w:tblStylePr w:type="lastRow">
      <w:rPr>
        <w:b/>
        <w:bCs/>
      </w:rPr>
      <w:tcPr>
        <w:tcBorders>
          <w:top w:val="single" w:color="F1A983" w:themeColor="accent2" w:themeTint="99" w:sz="4" w:space="0"/>
        </w:tcBorders>
      </w:tcPr>
    </w:tblStylePr>
    <w:tblStylePr w:type="firstCol">
      <w:rPr>
        <w:b/>
        <w:bCs/>
      </w:rPr>
    </w:tblStylePr>
    <w:tblStylePr w:type="lastCol">
      <w:rPr>
        <w:b/>
        <w:bCs/>
      </w:rPr>
    </w:tblStylePr>
    <w:tblStylePr w:type="band1Vert">
      <w:tcPr>
        <w:shd w:val="clear" w:color="auto" w:fill="FAE2D5" w:themeFill="accent2" w:themeFillTint="33"/>
      </w:tcPr>
    </w:tblStylePr>
    <w:tblStylePr w:type="band1Horz">
      <w:tcPr>
        <w:shd w:val="clear" w:color="auto" w:fill="FAE2D5" w:themeFill="accent2" w:themeFillTint="33"/>
      </w:tcPr>
    </w:tblStylePr>
  </w:style>
  <w:style w:type="table" w:customStyle="1" w:styleId="296">
    <w:name w:val="清单表 1 浅色 - 着色 31"/>
    <w:basedOn w:val="88"/>
    <w:qFormat/>
    <w:uiPriority w:val="46"/>
    <w:tblStylePr w:type="firstRow">
      <w:rPr>
        <w:b/>
        <w:bCs/>
      </w:rPr>
      <w:tcPr>
        <w:tcBorders>
          <w:bottom w:val="single" w:color="47D45A" w:themeColor="accent3" w:themeTint="99" w:sz="4" w:space="0"/>
        </w:tcBorders>
      </w:tcPr>
    </w:tblStylePr>
    <w:tblStylePr w:type="lastRow">
      <w:rPr>
        <w:b/>
        <w:bCs/>
      </w:rPr>
      <w:tcPr>
        <w:tcBorders>
          <w:top w:val="single" w:color="47D45A" w:themeColor="accent3" w:themeTint="99" w:sz="4" w:space="0"/>
        </w:tcBorders>
      </w:tcPr>
    </w:tblStylePr>
    <w:tblStylePr w:type="firstCol">
      <w:rPr>
        <w:b/>
        <w:bCs/>
      </w:rPr>
    </w:tblStylePr>
    <w:tblStylePr w:type="lastCol">
      <w:rPr>
        <w:b/>
        <w:bCs/>
      </w:rPr>
    </w:tblStylePr>
    <w:tblStylePr w:type="band1Vert">
      <w:tcPr>
        <w:shd w:val="clear" w:color="auto" w:fill="C1F0C8" w:themeFill="accent3" w:themeFillTint="33"/>
      </w:tcPr>
    </w:tblStylePr>
    <w:tblStylePr w:type="band1Horz">
      <w:tcPr>
        <w:shd w:val="clear" w:color="auto" w:fill="C1F0C8" w:themeFill="accent3" w:themeFillTint="33"/>
      </w:tcPr>
    </w:tblStylePr>
  </w:style>
  <w:style w:type="table" w:customStyle="1" w:styleId="297">
    <w:name w:val="清单表 1 浅色 - 着色 41"/>
    <w:basedOn w:val="88"/>
    <w:qFormat/>
    <w:uiPriority w:val="46"/>
    <w:tblStylePr w:type="firstRow">
      <w:rPr>
        <w:b/>
        <w:bCs/>
      </w:rPr>
      <w:tcPr>
        <w:tcBorders>
          <w:bottom w:val="single" w:color="60CBF3" w:themeColor="accent4" w:themeTint="99" w:sz="4" w:space="0"/>
        </w:tcBorders>
      </w:tcPr>
    </w:tblStylePr>
    <w:tblStylePr w:type="lastRow">
      <w:rPr>
        <w:b/>
        <w:bCs/>
      </w:rPr>
      <w:tcPr>
        <w:tcBorders>
          <w:top w:val="single" w:color="60CBF3" w:themeColor="accent4" w:themeTint="99" w:sz="4" w:space="0"/>
        </w:tcBorders>
      </w:tcPr>
    </w:tblStylePr>
    <w:tblStylePr w:type="firstCol">
      <w:rPr>
        <w:b/>
        <w:bCs/>
      </w:rPr>
    </w:tblStylePr>
    <w:tblStylePr w:type="lastCol">
      <w:rPr>
        <w:b/>
        <w:bCs/>
      </w:rPr>
    </w:tblStylePr>
    <w:tblStylePr w:type="band1Vert">
      <w:tcPr>
        <w:shd w:val="clear" w:color="auto" w:fill="CAEDFB" w:themeFill="accent4" w:themeFillTint="33"/>
      </w:tcPr>
    </w:tblStylePr>
    <w:tblStylePr w:type="band1Horz">
      <w:tcPr>
        <w:shd w:val="clear" w:color="auto" w:fill="CAEDFB" w:themeFill="accent4" w:themeFillTint="33"/>
      </w:tcPr>
    </w:tblStylePr>
  </w:style>
  <w:style w:type="table" w:customStyle="1" w:styleId="298">
    <w:name w:val="清单表 1 浅色 - 着色 51"/>
    <w:basedOn w:val="88"/>
    <w:qFormat/>
    <w:uiPriority w:val="46"/>
    <w:tblStylePr w:type="firstRow">
      <w:rPr>
        <w:b/>
        <w:bCs/>
      </w:rPr>
      <w:tcPr>
        <w:tcBorders>
          <w:bottom w:val="single" w:color="D76DCC" w:themeColor="accent5" w:themeTint="99" w:sz="4" w:space="0"/>
        </w:tcBorders>
      </w:tcPr>
    </w:tblStylePr>
    <w:tblStylePr w:type="lastRow">
      <w:rPr>
        <w:b/>
        <w:bCs/>
      </w:rPr>
      <w:tcPr>
        <w:tcBorders>
          <w:top w:val="single" w:color="D76DCC" w:themeColor="accent5" w:themeTint="99" w:sz="4" w:space="0"/>
        </w:tcBorders>
      </w:tcPr>
    </w:tblStylePr>
    <w:tblStylePr w:type="firstCol">
      <w:rPr>
        <w:b/>
        <w:bCs/>
      </w:rPr>
    </w:tblStylePr>
    <w:tblStylePr w:type="lastCol">
      <w:rPr>
        <w:b/>
        <w:bCs/>
      </w:rPr>
    </w:tblStylePr>
    <w:tblStylePr w:type="band1Vert">
      <w:tcPr>
        <w:shd w:val="clear" w:color="auto" w:fill="F1CEEE" w:themeFill="accent5" w:themeFillTint="33"/>
      </w:tcPr>
    </w:tblStylePr>
    <w:tblStylePr w:type="band1Horz">
      <w:tcPr>
        <w:shd w:val="clear" w:color="auto" w:fill="F1CEEE" w:themeFill="accent5" w:themeFillTint="33"/>
      </w:tcPr>
    </w:tblStylePr>
  </w:style>
  <w:style w:type="table" w:customStyle="1" w:styleId="299">
    <w:name w:val="清单表 1 浅色 - 着色 61"/>
    <w:basedOn w:val="88"/>
    <w:qFormat/>
    <w:uiPriority w:val="46"/>
    <w:tblStylePr w:type="firstRow">
      <w:rPr>
        <w:b/>
        <w:bCs/>
      </w:rPr>
      <w:tcPr>
        <w:tcBorders>
          <w:bottom w:val="single" w:color="8ED873" w:themeColor="accent6" w:themeTint="99" w:sz="4" w:space="0"/>
        </w:tcBorders>
      </w:tcPr>
    </w:tblStylePr>
    <w:tblStylePr w:type="lastRow">
      <w:rPr>
        <w:b/>
        <w:bCs/>
      </w:rPr>
      <w:tcPr>
        <w:tcBorders>
          <w:top w:val="single" w:color="8ED873" w:themeColor="accent6" w:themeTint="99" w:sz="4" w:space="0"/>
        </w:tcBorders>
      </w:tcPr>
    </w:tblStylePr>
    <w:tblStylePr w:type="firstCol">
      <w:rPr>
        <w:b/>
        <w:bCs/>
      </w:rPr>
    </w:tblStylePr>
    <w:tblStylePr w:type="lastCol">
      <w:rPr>
        <w:b/>
        <w:bCs/>
      </w:rPr>
    </w:tblStylePr>
    <w:tblStylePr w:type="band1Vert">
      <w:tcPr>
        <w:shd w:val="clear" w:color="auto" w:fill="D9F2D0" w:themeFill="accent6" w:themeFillTint="33"/>
      </w:tcPr>
    </w:tblStylePr>
    <w:tblStylePr w:type="band1Horz">
      <w:tcPr>
        <w:shd w:val="clear" w:color="auto" w:fill="D9F2D0" w:themeFill="accent6" w:themeFillTint="33"/>
      </w:tcPr>
    </w:tblStylePr>
  </w:style>
  <w:style w:type="table" w:customStyle="1" w:styleId="300">
    <w:name w:val="清单表 21"/>
    <w:basedOn w:val="88"/>
    <w:qFormat/>
    <w:uiPriority w:val="47"/>
    <w:tblPr>
      <w:tblBorders>
        <w:top w:val="single" w:color="666666" w:themeColor="text1" w:themeTint="99" w:sz="4" w:space="0"/>
        <w:bottom w:val="single" w:color="666666" w:themeColor="text1" w:themeTint="99" w:sz="4" w:space="0"/>
        <w:insideH w:val="single" w:color="666666" w:themeColor="tex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301">
    <w:name w:val="清单表 2 - 着色 11"/>
    <w:basedOn w:val="88"/>
    <w:qFormat/>
    <w:uiPriority w:val="47"/>
    <w:tblPr>
      <w:tblBorders>
        <w:top w:val="single" w:color="45B0E1" w:themeColor="accent1" w:themeTint="99" w:sz="4" w:space="0"/>
        <w:bottom w:val="single" w:color="45B0E1" w:themeColor="accent1" w:themeTint="99" w:sz="4" w:space="0"/>
        <w:insideH w:val="single" w:color="45B0E1" w:themeColor="accen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C1E4F5" w:themeFill="accent1" w:themeFillTint="33"/>
      </w:tcPr>
    </w:tblStylePr>
    <w:tblStylePr w:type="band1Horz">
      <w:tcPr>
        <w:shd w:val="clear" w:color="auto" w:fill="C1E4F5" w:themeFill="accent1" w:themeFillTint="33"/>
      </w:tcPr>
    </w:tblStylePr>
  </w:style>
  <w:style w:type="table" w:customStyle="1" w:styleId="302">
    <w:name w:val="清单表 2 - 着色 21"/>
    <w:basedOn w:val="88"/>
    <w:qFormat/>
    <w:uiPriority w:val="47"/>
    <w:tblPr>
      <w:tblBorders>
        <w:top w:val="single" w:color="F1A983" w:themeColor="accent2" w:themeTint="99" w:sz="4" w:space="0"/>
        <w:bottom w:val="single" w:color="F1A983" w:themeColor="accent2" w:themeTint="99" w:sz="4" w:space="0"/>
        <w:insideH w:val="single" w:color="F1A983"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AE2D5" w:themeFill="accent2" w:themeFillTint="33"/>
      </w:tcPr>
    </w:tblStylePr>
    <w:tblStylePr w:type="band1Horz">
      <w:tcPr>
        <w:shd w:val="clear" w:color="auto" w:fill="FAE2D5" w:themeFill="accent2" w:themeFillTint="33"/>
      </w:tcPr>
    </w:tblStylePr>
  </w:style>
  <w:style w:type="table" w:customStyle="1" w:styleId="303">
    <w:name w:val="清单表 2 - 着色 31"/>
    <w:basedOn w:val="88"/>
    <w:qFormat/>
    <w:uiPriority w:val="47"/>
    <w:tblPr>
      <w:tblBorders>
        <w:top w:val="single" w:color="47D45A" w:themeColor="accent3" w:themeTint="99" w:sz="4" w:space="0"/>
        <w:bottom w:val="single" w:color="47D45A" w:themeColor="accent3" w:themeTint="99" w:sz="4" w:space="0"/>
        <w:insideH w:val="single" w:color="47D45A"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C1F0C8" w:themeFill="accent3" w:themeFillTint="33"/>
      </w:tcPr>
    </w:tblStylePr>
    <w:tblStylePr w:type="band1Horz">
      <w:tcPr>
        <w:shd w:val="clear" w:color="auto" w:fill="C1F0C8" w:themeFill="accent3" w:themeFillTint="33"/>
      </w:tcPr>
    </w:tblStylePr>
  </w:style>
  <w:style w:type="table" w:customStyle="1" w:styleId="304">
    <w:name w:val="清单表 2 - 着色 41"/>
    <w:basedOn w:val="88"/>
    <w:qFormat/>
    <w:uiPriority w:val="47"/>
    <w:tblPr>
      <w:tblBorders>
        <w:top w:val="single" w:color="60CBF3" w:themeColor="accent4" w:themeTint="99" w:sz="4" w:space="0"/>
        <w:bottom w:val="single" w:color="60CBF3" w:themeColor="accent4" w:themeTint="99" w:sz="4" w:space="0"/>
        <w:insideH w:val="single" w:color="60CBF3" w:themeColor="accent4"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CAEDFB" w:themeFill="accent4" w:themeFillTint="33"/>
      </w:tcPr>
    </w:tblStylePr>
    <w:tblStylePr w:type="band1Horz">
      <w:tcPr>
        <w:shd w:val="clear" w:color="auto" w:fill="CAEDFB" w:themeFill="accent4" w:themeFillTint="33"/>
      </w:tcPr>
    </w:tblStylePr>
  </w:style>
  <w:style w:type="table" w:customStyle="1" w:styleId="305">
    <w:name w:val="清单表 2 - 着色 51"/>
    <w:basedOn w:val="88"/>
    <w:qFormat/>
    <w:uiPriority w:val="47"/>
    <w:tblPr>
      <w:tblBorders>
        <w:top w:val="single" w:color="D76DCC" w:themeColor="accent5" w:themeTint="99" w:sz="4" w:space="0"/>
        <w:bottom w:val="single" w:color="D76DCC" w:themeColor="accent5" w:themeTint="99" w:sz="4" w:space="0"/>
        <w:insideH w:val="single" w:color="D76DCC" w:themeColor="accent5"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CEEE" w:themeFill="accent5" w:themeFillTint="33"/>
      </w:tcPr>
    </w:tblStylePr>
    <w:tblStylePr w:type="band1Horz">
      <w:tcPr>
        <w:shd w:val="clear" w:color="auto" w:fill="F1CEEE" w:themeFill="accent5" w:themeFillTint="33"/>
      </w:tcPr>
    </w:tblStylePr>
  </w:style>
  <w:style w:type="table" w:customStyle="1" w:styleId="306">
    <w:name w:val="清单表 2 - 着色 61"/>
    <w:basedOn w:val="88"/>
    <w:qFormat/>
    <w:uiPriority w:val="47"/>
    <w:tblPr>
      <w:tblBorders>
        <w:top w:val="single" w:color="8ED873" w:themeColor="accent6" w:themeTint="99" w:sz="4" w:space="0"/>
        <w:bottom w:val="single" w:color="8ED873" w:themeColor="accent6" w:themeTint="99" w:sz="4" w:space="0"/>
        <w:insideH w:val="single" w:color="8ED873" w:themeColor="accent6"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D9F2D0" w:themeFill="accent6" w:themeFillTint="33"/>
      </w:tcPr>
    </w:tblStylePr>
    <w:tblStylePr w:type="band1Horz">
      <w:tcPr>
        <w:shd w:val="clear" w:color="auto" w:fill="D9F2D0" w:themeFill="accent6" w:themeFillTint="33"/>
      </w:tcPr>
    </w:tblStylePr>
  </w:style>
  <w:style w:type="table" w:customStyle="1" w:styleId="307">
    <w:name w:val="清单表 31"/>
    <w:basedOn w:val="88"/>
    <w:qFormat/>
    <w:uiPriority w:val="48"/>
    <w:tblPr>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b/>
        <w:bCs/>
        <w:color w:val="FFFFFF" w:themeColor="background1"/>
        <w14:textFill>
          <w14:solidFill>
            <w14:schemeClr w14:val="bg1"/>
          </w14:solidFill>
        </w14:textFill>
      </w:rPr>
      <w:tcPr>
        <w:shd w:val="clear" w:color="auto" w:fill="000000" w:themeFill="text1"/>
      </w:tcPr>
    </w:tblStylePr>
    <w:tblStylePr w:type="lastRow">
      <w:rPr>
        <w:b/>
        <w:bCs/>
      </w:rPr>
      <w:tcPr>
        <w:tcBorders>
          <w:top w:val="double" w:color="000000" w:themeColor="text1"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000000" w:themeColor="text1" w:sz="4" w:space="0"/>
          <w:right w:val="single" w:color="000000" w:themeColor="text1" w:sz="4" w:space="0"/>
        </w:tcBorders>
      </w:tcPr>
    </w:tblStylePr>
    <w:tblStylePr w:type="band1Horz">
      <w:tcPr>
        <w:tcBorders>
          <w:top w:val="single" w:color="000000" w:themeColor="text1" w:sz="4" w:space="0"/>
          <w:bottom w:val="single" w:color="000000" w:themeColor="text1"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000000" w:themeColor="text1" w:sz="4" w:space="0"/>
          <w:left w:val="nil"/>
        </w:tcBorders>
      </w:tcPr>
    </w:tblStylePr>
    <w:tblStylePr w:type="swCell">
      <w:tcPr>
        <w:tcBorders>
          <w:top w:val="double" w:color="000000" w:themeColor="text1" w:sz="4" w:space="0"/>
          <w:right w:val="nil"/>
        </w:tcBorders>
      </w:tcPr>
    </w:tblStylePr>
  </w:style>
  <w:style w:type="table" w:customStyle="1" w:styleId="308">
    <w:name w:val="清单表 3 - 着色 11"/>
    <w:basedOn w:val="88"/>
    <w:qFormat/>
    <w:uiPriority w:val="48"/>
    <w:tblPr>
      <w:tblBorders>
        <w:top w:val="single" w:color="156082" w:themeColor="accent1" w:sz="4" w:space="0"/>
        <w:left w:val="single" w:color="156082" w:themeColor="accent1" w:sz="4" w:space="0"/>
        <w:bottom w:val="single" w:color="156082" w:themeColor="accent1" w:sz="4" w:space="0"/>
        <w:right w:val="single" w:color="156082" w:themeColor="accent1" w:sz="4" w:space="0"/>
      </w:tblBorders>
    </w:tblPr>
    <w:tblStylePr w:type="firstRow">
      <w:rPr>
        <w:b/>
        <w:bCs/>
        <w:color w:val="FFFFFF" w:themeColor="background1"/>
        <w14:textFill>
          <w14:solidFill>
            <w14:schemeClr w14:val="bg1"/>
          </w14:solidFill>
        </w14:textFill>
      </w:rPr>
      <w:tcPr>
        <w:shd w:val="clear" w:color="auto" w:fill="156082" w:themeFill="accent1"/>
      </w:tcPr>
    </w:tblStylePr>
    <w:tblStylePr w:type="lastRow">
      <w:rPr>
        <w:b/>
        <w:bCs/>
      </w:rPr>
      <w:tcPr>
        <w:tcBorders>
          <w:top w:val="double" w:color="156082" w:themeColor="accent1"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156082" w:themeColor="accent1" w:sz="4" w:space="0"/>
          <w:right w:val="single" w:color="156082" w:themeColor="accent1" w:sz="4" w:space="0"/>
        </w:tcBorders>
      </w:tcPr>
    </w:tblStylePr>
    <w:tblStylePr w:type="band1Horz">
      <w:tcPr>
        <w:tcBorders>
          <w:top w:val="single" w:color="156082" w:themeColor="accent1" w:sz="4" w:space="0"/>
          <w:bottom w:val="single" w:color="156082" w:themeColor="accent1"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156082" w:themeColor="accent1" w:sz="4" w:space="0"/>
          <w:left w:val="nil"/>
        </w:tcBorders>
      </w:tcPr>
    </w:tblStylePr>
    <w:tblStylePr w:type="swCell">
      <w:tcPr>
        <w:tcBorders>
          <w:top w:val="double" w:color="156082" w:themeColor="accent1" w:sz="4" w:space="0"/>
          <w:right w:val="nil"/>
        </w:tcBorders>
      </w:tcPr>
    </w:tblStylePr>
  </w:style>
  <w:style w:type="table" w:customStyle="1" w:styleId="309">
    <w:name w:val="清单表 3 - 着色 21"/>
    <w:basedOn w:val="88"/>
    <w:qFormat/>
    <w:uiPriority w:val="48"/>
    <w:tblPr>
      <w:tblBorders>
        <w:top w:val="single" w:color="E97132" w:themeColor="accent2" w:sz="4" w:space="0"/>
        <w:left w:val="single" w:color="E97132" w:themeColor="accent2" w:sz="4" w:space="0"/>
        <w:bottom w:val="single" w:color="E97132" w:themeColor="accent2" w:sz="4" w:space="0"/>
        <w:right w:val="single" w:color="E97132" w:themeColor="accent2" w:sz="4" w:space="0"/>
      </w:tblBorders>
    </w:tblPr>
    <w:tblStylePr w:type="firstRow">
      <w:rPr>
        <w:b/>
        <w:bCs/>
        <w:color w:val="FFFFFF" w:themeColor="background1"/>
        <w14:textFill>
          <w14:solidFill>
            <w14:schemeClr w14:val="bg1"/>
          </w14:solidFill>
        </w14:textFill>
      </w:rPr>
      <w:tcPr>
        <w:shd w:val="clear" w:color="auto" w:fill="E97132" w:themeFill="accent2"/>
      </w:tcPr>
    </w:tblStylePr>
    <w:tblStylePr w:type="lastRow">
      <w:rPr>
        <w:b/>
        <w:bCs/>
      </w:rPr>
      <w:tcPr>
        <w:tcBorders>
          <w:top w:val="double" w:color="E97132" w:themeColor="accent2"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E97132" w:themeColor="accent2" w:sz="4" w:space="0"/>
          <w:right w:val="single" w:color="E97132" w:themeColor="accent2" w:sz="4" w:space="0"/>
        </w:tcBorders>
      </w:tcPr>
    </w:tblStylePr>
    <w:tblStylePr w:type="band1Horz">
      <w:tcPr>
        <w:tcBorders>
          <w:top w:val="single" w:color="E97132" w:themeColor="accent2" w:sz="4" w:space="0"/>
          <w:bottom w:val="single" w:color="E97132" w:themeColor="accent2"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E97132" w:themeColor="accent2" w:sz="4" w:space="0"/>
          <w:left w:val="nil"/>
        </w:tcBorders>
      </w:tcPr>
    </w:tblStylePr>
    <w:tblStylePr w:type="swCell">
      <w:tcPr>
        <w:tcBorders>
          <w:top w:val="double" w:color="E97132" w:themeColor="accent2" w:sz="4" w:space="0"/>
          <w:right w:val="nil"/>
        </w:tcBorders>
      </w:tcPr>
    </w:tblStylePr>
  </w:style>
  <w:style w:type="table" w:customStyle="1" w:styleId="310">
    <w:name w:val="清单表 3 - 着色 31"/>
    <w:basedOn w:val="88"/>
    <w:qFormat/>
    <w:uiPriority w:val="48"/>
    <w:tblPr>
      <w:tblBorders>
        <w:top w:val="single" w:color="196B24" w:themeColor="accent3" w:sz="4" w:space="0"/>
        <w:left w:val="single" w:color="196B24" w:themeColor="accent3" w:sz="4" w:space="0"/>
        <w:bottom w:val="single" w:color="196B24" w:themeColor="accent3" w:sz="4" w:space="0"/>
        <w:right w:val="single" w:color="196B24" w:themeColor="accent3" w:sz="4" w:space="0"/>
      </w:tblBorders>
    </w:tblPr>
    <w:tblStylePr w:type="firstRow">
      <w:rPr>
        <w:b/>
        <w:bCs/>
        <w:color w:val="FFFFFF" w:themeColor="background1"/>
        <w14:textFill>
          <w14:solidFill>
            <w14:schemeClr w14:val="bg1"/>
          </w14:solidFill>
        </w14:textFill>
      </w:rPr>
      <w:tcPr>
        <w:shd w:val="clear" w:color="auto" w:fill="196B24" w:themeFill="accent3"/>
      </w:tcPr>
    </w:tblStylePr>
    <w:tblStylePr w:type="lastRow">
      <w:rPr>
        <w:b/>
        <w:bCs/>
      </w:rPr>
      <w:tcPr>
        <w:tcBorders>
          <w:top w:val="double" w:color="196B24" w:themeColor="accent3"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196B24" w:themeColor="accent3" w:sz="4" w:space="0"/>
          <w:right w:val="single" w:color="196B24" w:themeColor="accent3" w:sz="4" w:space="0"/>
        </w:tcBorders>
      </w:tcPr>
    </w:tblStylePr>
    <w:tblStylePr w:type="band1Horz">
      <w:tcPr>
        <w:tcBorders>
          <w:top w:val="single" w:color="196B24" w:themeColor="accent3" w:sz="4" w:space="0"/>
          <w:bottom w:val="single" w:color="196B24" w:themeColor="accent3"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196B24" w:themeColor="accent3" w:sz="4" w:space="0"/>
          <w:left w:val="nil"/>
        </w:tcBorders>
      </w:tcPr>
    </w:tblStylePr>
    <w:tblStylePr w:type="swCell">
      <w:tcPr>
        <w:tcBorders>
          <w:top w:val="double" w:color="196B24" w:themeColor="accent3" w:sz="4" w:space="0"/>
          <w:right w:val="nil"/>
        </w:tcBorders>
      </w:tcPr>
    </w:tblStylePr>
  </w:style>
  <w:style w:type="table" w:customStyle="1" w:styleId="311">
    <w:name w:val="清单表 3 - 着色 41"/>
    <w:basedOn w:val="88"/>
    <w:qFormat/>
    <w:uiPriority w:val="48"/>
    <w:tblPr>
      <w:tblBorders>
        <w:top w:val="single" w:color="0F9ED5" w:themeColor="accent4" w:sz="4" w:space="0"/>
        <w:left w:val="single" w:color="0F9ED5" w:themeColor="accent4" w:sz="4" w:space="0"/>
        <w:bottom w:val="single" w:color="0F9ED5" w:themeColor="accent4" w:sz="4" w:space="0"/>
        <w:right w:val="single" w:color="0F9ED5" w:themeColor="accent4" w:sz="4" w:space="0"/>
      </w:tblBorders>
    </w:tblPr>
    <w:tblStylePr w:type="firstRow">
      <w:rPr>
        <w:b/>
        <w:bCs/>
        <w:color w:val="FFFFFF" w:themeColor="background1"/>
        <w14:textFill>
          <w14:solidFill>
            <w14:schemeClr w14:val="bg1"/>
          </w14:solidFill>
        </w14:textFill>
      </w:rPr>
      <w:tcPr>
        <w:shd w:val="clear" w:color="auto" w:fill="0F9ED5" w:themeFill="accent4"/>
      </w:tcPr>
    </w:tblStylePr>
    <w:tblStylePr w:type="lastRow">
      <w:rPr>
        <w:b/>
        <w:bCs/>
      </w:rPr>
      <w:tcPr>
        <w:tcBorders>
          <w:top w:val="double" w:color="0F9ED5" w:themeColor="accent4"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0F9ED5" w:themeColor="accent4" w:sz="4" w:space="0"/>
          <w:right w:val="single" w:color="0F9ED5" w:themeColor="accent4" w:sz="4" w:space="0"/>
        </w:tcBorders>
      </w:tcPr>
    </w:tblStylePr>
    <w:tblStylePr w:type="band1Horz">
      <w:tcPr>
        <w:tcBorders>
          <w:top w:val="single" w:color="0F9ED5" w:themeColor="accent4" w:sz="4" w:space="0"/>
          <w:bottom w:val="single" w:color="0F9ED5" w:themeColor="accent4"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0F9ED5" w:themeColor="accent4" w:sz="4" w:space="0"/>
          <w:left w:val="nil"/>
        </w:tcBorders>
      </w:tcPr>
    </w:tblStylePr>
    <w:tblStylePr w:type="swCell">
      <w:tcPr>
        <w:tcBorders>
          <w:top w:val="double" w:color="0F9ED5" w:themeColor="accent4" w:sz="4" w:space="0"/>
          <w:right w:val="nil"/>
        </w:tcBorders>
      </w:tcPr>
    </w:tblStylePr>
  </w:style>
  <w:style w:type="table" w:customStyle="1" w:styleId="312">
    <w:name w:val="清单表 3 - 着色 51"/>
    <w:basedOn w:val="88"/>
    <w:qFormat/>
    <w:uiPriority w:val="48"/>
    <w:tblPr>
      <w:tblBorders>
        <w:top w:val="single" w:color="A02B93" w:themeColor="accent5" w:sz="4" w:space="0"/>
        <w:left w:val="single" w:color="A02B93" w:themeColor="accent5" w:sz="4" w:space="0"/>
        <w:bottom w:val="single" w:color="A02B93" w:themeColor="accent5" w:sz="4" w:space="0"/>
        <w:right w:val="single" w:color="A02B93" w:themeColor="accent5" w:sz="4" w:space="0"/>
      </w:tblBorders>
    </w:tblPr>
    <w:tblStylePr w:type="firstRow">
      <w:rPr>
        <w:b/>
        <w:bCs/>
        <w:color w:val="FFFFFF" w:themeColor="background1"/>
        <w14:textFill>
          <w14:solidFill>
            <w14:schemeClr w14:val="bg1"/>
          </w14:solidFill>
        </w14:textFill>
      </w:rPr>
      <w:tcPr>
        <w:shd w:val="clear" w:color="auto" w:fill="A02B93" w:themeFill="accent5"/>
      </w:tcPr>
    </w:tblStylePr>
    <w:tblStylePr w:type="lastRow">
      <w:rPr>
        <w:b/>
        <w:bCs/>
      </w:rPr>
      <w:tcPr>
        <w:tcBorders>
          <w:top w:val="double" w:color="A02B93" w:themeColor="accent5"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A02B93" w:themeColor="accent5" w:sz="4" w:space="0"/>
          <w:right w:val="single" w:color="A02B93" w:themeColor="accent5" w:sz="4" w:space="0"/>
        </w:tcBorders>
      </w:tcPr>
    </w:tblStylePr>
    <w:tblStylePr w:type="band1Horz">
      <w:tcPr>
        <w:tcBorders>
          <w:top w:val="single" w:color="A02B93" w:themeColor="accent5" w:sz="4" w:space="0"/>
          <w:bottom w:val="single" w:color="A02B93" w:themeColor="accent5"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A02B93" w:themeColor="accent5" w:sz="4" w:space="0"/>
          <w:left w:val="nil"/>
        </w:tcBorders>
      </w:tcPr>
    </w:tblStylePr>
    <w:tblStylePr w:type="swCell">
      <w:tcPr>
        <w:tcBorders>
          <w:top w:val="double" w:color="A02B93" w:themeColor="accent5" w:sz="4" w:space="0"/>
          <w:right w:val="nil"/>
        </w:tcBorders>
      </w:tcPr>
    </w:tblStylePr>
  </w:style>
  <w:style w:type="table" w:customStyle="1" w:styleId="313">
    <w:name w:val="清单表 3 - 着色 61"/>
    <w:basedOn w:val="88"/>
    <w:qFormat/>
    <w:uiPriority w:val="48"/>
    <w:tblPr>
      <w:tblBorders>
        <w:top w:val="single" w:color="4EA72E" w:themeColor="accent6" w:sz="4" w:space="0"/>
        <w:left w:val="single" w:color="4EA72E" w:themeColor="accent6" w:sz="4" w:space="0"/>
        <w:bottom w:val="single" w:color="4EA72E" w:themeColor="accent6" w:sz="4" w:space="0"/>
        <w:right w:val="single" w:color="4EA72E" w:themeColor="accent6" w:sz="4" w:space="0"/>
      </w:tblBorders>
    </w:tblPr>
    <w:tblStylePr w:type="firstRow">
      <w:rPr>
        <w:b/>
        <w:bCs/>
        <w:color w:val="FFFFFF" w:themeColor="background1"/>
        <w14:textFill>
          <w14:solidFill>
            <w14:schemeClr w14:val="bg1"/>
          </w14:solidFill>
        </w14:textFill>
      </w:rPr>
      <w:tcPr>
        <w:shd w:val="clear" w:color="auto" w:fill="4EA72E" w:themeFill="accent6"/>
      </w:tcPr>
    </w:tblStylePr>
    <w:tblStylePr w:type="lastRow">
      <w:rPr>
        <w:b/>
        <w:bCs/>
      </w:rPr>
      <w:tcPr>
        <w:tcBorders>
          <w:top w:val="double" w:color="4EA72E" w:themeColor="accent6"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4EA72E" w:themeColor="accent6" w:sz="4" w:space="0"/>
          <w:right w:val="single" w:color="4EA72E" w:themeColor="accent6" w:sz="4" w:space="0"/>
        </w:tcBorders>
      </w:tcPr>
    </w:tblStylePr>
    <w:tblStylePr w:type="band1Horz">
      <w:tcPr>
        <w:tcBorders>
          <w:top w:val="single" w:color="4EA72E" w:themeColor="accent6" w:sz="4" w:space="0"/>
          <w:bottom w:val="single" w:color="4EA72E" w:themeColor="accent6"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4EA72E" w:themeColor="accent6" w:sz="4" w:space="0"/>
          <w:left w:val="nil"/>
        </w:tcBorders>
      </w:tcPr>
    </w:tblStylePr>
    <w:tblStylePr w:type="swCell">
      <w:tcPr>
        <w:tcBorders>
          <w:top w:val="double" w:color="4EA72E" w:themeColor="accent6" w:sz="4" w:space="0"/>
          <w:right w:val="nil"/>
        </w:tcBorders>
      </w:tcPr>
    </w:tblStylePr>
  </w:style>
  <w:style w:type="table" w:customStyle="1" w:styleId="314">
    <w:name w:val="清单表 41"/>
    <w:basedOn w:val="88"/>
    <w:qFormat/>
    <w:uiPriority w:val="49"/>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tblBorders>
    </w:tblPr>
    <w:tblStylePr w:type="firstRow">
      <w:rPr>
        <w:b/>
        <w:bCs/>
        <w:color w:val="FFFFFF" w:themeColor="background1"/>
        <w14:textFill>
          <w14:solidFill>
            <w14:schemeClr w14:val="bg1"/>
          </w14:solidFill>
        </w14:textFill>
      </w:r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tcBorders>
        <w:shd w:val="clear" w:color="auto" w:fill="000000" w:themeFill="text1"/>
      </w:tcPr>
    </w:tblStylePr>
    <w:tblStylePr w:type="lastRow">
      <w:rPr>
        <w:b/>
        <w:bCs/>
      </w:rPr>
      <w:tcPr>
        <w:tcBorders>
          <w:top w:val="double" w:color="666666" w:themeColor="text1" w:themeTint="99"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315">
    <w:name w:val="清单表 4 - 着色 11"/>
    <w:basedOn w:val="88"/>
    <w:qFormat/>
    <w:uiPriority w:val="49"/>
    <w:tblPr>
      <w:tblBorders>
        <w:top w:val="single" w:color="45B0E1" w:themeColor="accent1" w:themeTint="99" w:sz="4" w:space="0"/>
        <w:left w:val="single" w:color="45B0E1" w:themeColor="accent1" w:themeTint="99" w:sz="4" w:space="0"/>
        <w:bottom w:val="single" w:color="45B0E1" w:themeColor="accent1" w:themeTint="99" w:sz="4" w:space="0"/>
        <w:right w:val="single" w:color="45B0E1" w:themeColor="accent1" w:themeTint="99" w:sz="4" w:space="0"/>
        <w:insideH w:val="single" w:color="45B0E1" w:themeColor="accent1" w:themeTint="99" w:sz="4" w:space="0"/>
      </w:tblBorders>
    </w:tblPr>
    <w:tblStylePr w:type="firstRow">
      <w:rPr>
        <w:b/>
        <w:bCs/>
        <w:color w:val="FFFFFF" w:themeColor="background1"/>
        <w14:textFill>
          <w14:solidFill>
            <w14:schemeClr w14:val="bg1"/>
          </w14:solidFill>
        </w14:textFill>
      </w:rPr>
      <w:tcPr>
        <w:tcBorders>
          <w:top w:val="single" w:color="156082" w:themeColor="accent1" w:sz="4" w:space="0"/>
          <w:left w:val="single" w:color="156082" w:themeColor="accent1" w:sz="4" w:space="0"/>
          <w:bottom w:val="single" w:color="156082" w:themeColor="accent1" w:sz="4" w:space="0"/>
          <w:right w:val="single" w:color="156082" w:themeColor="accent1" w:sz="4" w:space="0"/>
          <w:insideH w:val="nil"/>
        </w:tcBorders>
        <w:shd w:val="clear" w:color="auto" w:fill="156082" w:themeFill="accent1"/>
      </w:tcPr>
    </w:tblStylePr>
    <w:tblStylePr w:type="lastRow">
      <w:rPr>
        <w:b/>
        <w:bCs/>
      </w:rPr>
      <w:tcPr>
        <w:tcBorders>
          <w:top w:val="double" w:color="45B0E1" w:themeColor="accent1" w:themeTint="99" w:sz="4" w:space="0"/>
        </w:tcBorders>
      </w:tcPr>
    </w:tblStylePr>
    <w:tblStylePr w:type="firstCol">
      <w:rPr>
        <w:b/>
        <w:bCs/>
      </w:rPr>
    </w:tblStylePr>
    <w:tblStylePr w:type="lastCol">
      <w:rPr>
        <w:b/>
        <w:bCs/>
      </w:rPr>
    </w:tblStylePr>
    <w:tblStylePr w:type="band1Vert">
      <w:tcPr>
        <w:shd w:val="clear" w:color="auto" w:fill="C1E4F5" w:themeFill="accent1" w:themeFillTint="33"/>
      </w:tcPr>
    </w:tblStylePr>
    <w:tblStylePr w:type="band1Horz">
      <w:tcPr>
        <w:shd w:val="clear" w:color="auto" w:fill="C1E4F5" w:themeFill="accent1" w:themeFillTint="33"/>
      </w:tcPr>
    </w:tblStylePr>
  </w:style>
  <w:style w:type="table" w:customStyle="1" w:styleId="316">
    <w:name w:val="清单表 4 - 着色 21"/>
    <w:basedOn w:val="88"/>
    <w:qFormat/>
    <w:uiPriority w:val="49"/>
    <w:tblPr>
      <w:tblBorders>
        <w:top w:val="single" w:color="F1A983" w:themeColor="accent2" w:themeTint="99" w:sz="4" w:space="0"/>
        <w:left w:val="single" w:color="F1A983" w:themeColor="accent2" w:themeTint="99" w:sz="4" w:space="0"/>
        <w:bottom w:val="single" w:color="F1A983" w:themeColor="accent2" w:themeTint="99" w:sz="4" w:space="0"/>
        <w:right w:val="single" w:color="F1A983" w:themeColor="accent2" w:themeTint="99" w:sz="4" w:space="0"/>
        <w:insideH w:val="single" w:color="F1A983" w:themeColor="accent2" w:themeTint="99" w:sz="4" w:space="0"/>
      </w:tblBorders>
    </w:tblPr>
    <w:tblStylePr w:type="firstRow">
      <w:rPr>
        <w:b/>
        <w:bCs/>
        <w:color w:val="FFFFFF" w:themeColor="background1"/>
        <w14:textFill>
          <w14:solidFill>
            <w14:schemeClr w14:val="bg1"/>
          </w14:solidFill>
        </w14:textFill>
      </w:rPr>
      <w:tcPr>
        <w:tcBorders>
          <w:top w:val="single" w:color="E97132" w:themeColor="accent2" w:sz="4" w:space="0"/>
          <w:left w:val="single" w:color="E97132" w:themeColor="accent2" w:sz="4" w:space="0"/>
          <w:bottom w:val="single" w:color="E97132" w:themeColor="accent2" w:sz="4" w:space="0"/>
          <w:right w:val="single" w:color="E97132" w:themeColor="accent2" w:sz="4" w:space="0"/>
          <w:insideH w:val="nil"/>
        </w:tcBorders>
        <w:shd w:val="clear" w:color="auto" w:fill="E97132" w:themeFill="accent2"/>
      </w:tcPr>
    </w:tblStylePr>
    <w:tblStylePr w:type="lastRow">
      <w:rPr>
        <w:b/>
        <w:bCs/>
      </w:rPr>
      <w:tcPr>
        <w:tcBorders>
          <w:top w:val="double" w:color="F1A983" w:themeColor="accent2" w:themeTint="99" w:sz="4" w:space="0"/>
        </w:tcBorders>
      </w:tcPr>
    </w:tblStylePr>
    <w:tblStylePr w:type="firstCol">
      <w:rPr>
        <w:b/>
        <w:bCs/>
      </w:rPr>
    </w:tblStylePr>
    <w:tblStylePr w:type="lastCol">
      <w:rPr>
        <w:b/>
        <w:bCs/>
      </w:rPr>
    </w:tblStylePr>
    <w:tblStylePr w:type="band1Vert">
      <w:tcPr>
        <w:shd w:val="clear" w:color="auto" w:fill="FAE2D5" w:themeFill="accent2" w:themeFillTint="33"/>
      </w:tcPr>
    </w:tblStylePr>
    <w:tblStylePr w:type="band1Horz">
      <w:tcPr>
        <w:shd w:val="clear" w:color="auto" w:fill="FAE2D5" w:themeFill="accent2" w:themeFillTint="33"/>
      </w:tcPr>
    </w:tblStylePr>
  </w:style>
  <w:style w:type="table" w:customStyle="1" w:styleId="317">
    <w:name w:val="清单表 4 - 着色 31"/>
    <w:basedOn w:val="88"/>
    <w:qFormat/>
    <w:uiPriority w:val="49"/>
    <w:tblPr>
      <w:tblBorders>
        <w:top w:val="single" w:color="47D45A" w:themeColor="accent3" w:themeTint="99" w:sz="4" w:space="0"/>
        <w:left w:val="single" w:color="47D45A" w:themeColor="accent3" w:themeTint="99" w:sz="4" w:space="0"/>
        <w:bottom w:val="single" w:color="47D45A" w:themeColor="accent3" w:themeTint="99" w:sz="4" w:space="0"/>
        <w:right w:val="single" w:color="47D45A" w:themeColor="accent3" w:themeTint="99" w:sz="4" w:space="0"/>
        <w:insideH w:val="single" w:color="47D45A" w:themeColor="accent3" w:themeTint="99" w:sz="4" w:space="0"/>
      </w:tblBorders>
    </w:tblPr>
    <w:tblStylePr w:type="firstRow">
      <w:rPr>
        <w:b/>
        <w:bCs/>
        <w:color w:val="FFFFFF" w:themeColor="background1"/>
        <w14:textFill>
          <w14:solidFill>
            <w14:schemeClr w14:val="bg1"/>
          </w14:solidFill>
        </w14:textFill>
      </w:rPr>
      <w:tcPr>
        <w:tcBorders>
          <w:top w:val="single" w:color="196B24" w:themeColor="accent3" w:sz="4" w:space="0"/>
          <w:left w:val="single" w:color="196B24" w:themeColor="accent3" w:sz="4" w:space="0"/>
          <w:bottom w:val="single" w:color="196B24" w:themeColor="accent3" w:sz="4" w:space="0"/>
          <w:right w:val="single" w:color="196B24" w:themeColor="accent3" w:sz="4" w:space="0"/>
          <w:insideH w:val="nil"/>
        </w:tcBorders>
        <w:shd w:val="clear" w:color="auto" w:fill="196B24" w:themeFill="accent3"/>
      </w:tcPr>
    </w:tblStylePr>
    <w:tblStylePr w:type="lastRow">
      <w:rPr>
        <w:b/>
        <w:bCs/>
      </w:rPr>
      <w:tcPr>
        <w:tcBorders>
          <w:top w:val="double" w:color="47D45A" w:themeColor="accent3" w:themeTint="99" w:sz="4" w:space="0"/>
        </w:tcBorders>
      </w:tcPr>
    </w:tblStylePr>
    <w:tblStylePr w:type="firstCol">
      <w:rPr>
        <w:b/>
        <w:bCs/>
      </w:rPr>
    </w:tblStylePr>
    <w:tblStylePr w:type="lastCol">
      <w:rPr>
        <w:b/>
        <w:bCs/>
      </w:rPr>
    </w:tblStylePr>
    <w:tblStylePr w:type="band1Vert">
      <w:tcPr>
        <w:shd w:val="clear" w:color="auto" w:fill="C1F0C8" w:themeFill="accent3" w:themeFillTint="33"/>
      </w:tcPr>
    </w:tblStylePr>
    <w:tblStylePr w:type="band1Horz">
      <w:tcPr>
        <w:shd w:val="clear" w:color="auto" w:fill="C1F0C8" w:themeFill="accent3" w:themeFillTint="33"/>
      </w:tcPr>
    </w:tblStylePr>
  </w:style>
  <w:style w:type="table" w:customStyle="1" w:styleId="318">
    <w:name w:val="清单表 4 - 着色 41"/>
    <w:basedOn w:val="88"/>
    <w:qFormat/>
    <w:uiPriority w:val="49"/>
    <w:tblPr>
      <w:tblBorders>
        <w:top w:val="single" w:color="60CBF3" w:themeColor="accent4" w:themeTint="99" w:sz="4" w:space="0"/>
        <w:left w:val="single" w:color="60CBF3" w:themeColor="accent4" w:themeTint="99" w:sz="4" w:space="0"/>
        <w:bottom w:val="single" w:color="60CBF3" w:themeColor="accent4" w:themeTint="99" w:sz="4" w:space="0"/>
        <w:right w:val="single" w:color="60CBF3" w:themeColor="accent4" w:themeTint="99" w:sz="4" w:space="0"/>
        <w:insideH w:val="single" w:color="60CBF3" w:themeColor="accent4" w:themeTint="99" w:sz="4" w:space="0"/>
      </w:tblBorders>
    </w:tblPr>
    <w:tblStylePr w:type="firstRow">
      <w:rPr>
        <w:b/>
        <w:bCs/>
        <w:color w:val="FFFFFF" w:themeColor="background1"/>
        <w14:textFill>
          <w14:solidFill>
            <w14:schemeClr w14:val="bg1"/>
          </w14:solidFill>
        </w14:textFill>
      </w:rPr>
      <w:tcPr>
        <w:tcBorders>
          <w:top w:val="single" w:color="0F9ED5" w:themeColor="accent4" w:sz="4" w:space="0"/>
          <w:left w:val="single" w:color="0F9ED5" w:themeColor="accent4" w:sz="4" w:space="0"/>
          <w:bottom w:val="single" w:color="0F9ED5" w:themeColor="accent4" w:sz="4" w:space="0"/>
          <w:right w:val="single" w:color="0F9ED5" w:themeColor="accent4" w:sz="4" w:space="0"/>
          <w:insideH w:val="nil"/>
        </w:tcBorders>
        <w:shd w:val="clear" w:color="auto" w:fill="0F9ED5" w:themeFill="accent4"/>
      </w:tcPr>
    </w:tblStylePr>
    <w:tblStylePr w:type="lastRow">
      <w:rPr>
        <w:b/>
        <w:bCs/>
      </w:rPr>
      <w:tcPr>
        <w:tcBorders>
          <w:top w:val="double" w:color="60CBF3" w:themeColor="accent4" w:themeTint="99" w:sz="4" w:space="0"/>
        </w:tcBorders>
      </w:tcPr>
    </w:tblStylePr>
    <w:tblStylePr w:type="firstCol">
      <w:rPr>
        <w:b/>
        <w:bCs/>
      </w:rPr>
    </w:tblStylePr>
    <w:tblStylePr w:type="lastCol">
      <w:rPr>
        <w:b/>
        <w:bCs/>
      </w:rPr>
    </w:tblStylePr>
    <w:tblStylePr w:type="band1Vert">
      <w:tcPr>
        <w:shd w:val="clear" w:color="auto" w:fill="CAEDFB" w:themeFill="accent4" w:themeFillTint="33"/>
      </w:tcPr>
    </w:tblStylePr>
    <w:tblStylePr w:type="band1Horz">
      <w:tcPr>
        <w:shd w:val="clear" w:color="auto" w:fill="CAEDFB" w:themeFill="accent4" w:themeFillTint="33"/>
      </w:tcPr>
    </w:tblStylePr>
  </w:style>
  <w:style w:type="table" w:customStyle="1" w:styleId="319">
    <w:name w:val="清单表 4 - 着色 51"/>
    <w:basedOn w:val="88"/>
    <w:qFormat/>
    <w:uiPriority w:val="49"/>
    <w:tblPr>
      <w:tblBorders>
        <w:top w:val="single" w:color="D76DCC" w:themeColor="accent5" w:themeTint="99" w:sz="4" w:space="0"/>
        <w:left w:val="single" w:color="D76DCC" w:themeColor="accent5" w:themeTint="99" w:sz="4" w:space="0"/>
        <w:bottom w:val="single" w:color="D76DCC" w:themeColor="accent5" w:themeTint="99" w:sz="4" w:space="0"/>
        <w:right w:val="single" w:color="D76DCC" w:themeColor="accent5" w:themeTint="99" w:sz="4" w:space="0"/>
        <w:insideH w:val="single" w:color="D76DCC" w:themeColor="accent5" w:themeTint="99" w:sz="4" w:space="0"/>
      </w:tblBorders>
    </w:tblPr>
    <w:tblStylePr w:type="firstRow">
      <w:rPr>
        <w:b/>
        <w:bCs/>
        <w:color w:val="FFFFFF" w:themeColor="background1"/>
        <w14:textFill>
          <w14:solidFill>
            <w14:schemeClr w14:val="bg1"/>
          </w14:solidFill>
        </w14:textFill>
      </w:rPr>
      <w:tcPr>
        <w:tcBorders>
          <w:top w:val="single" w:color="A02B93" w:themeColor="accent5" w:sz="4" w:space="0"/>
          <w:left w:val="single" w:color="A02B93" w:themeColor="accent5" w:sz="4" w:space="0"/>
          <w:bottom w:val="single" w:color="A02B93" w:themeColor="accent5" w:sz="4" w:space="0"/>
          <w:right w:val="single" w:color="A02B93" w:themeColor="accent5" w:sz="4" w:space="0"/>
          <w:insideH w:val="nil"/>
        </w:tcBorders>
        <w:shd w:val="clear" w:color="auto" w:fill="A02B93" w:themeFill="accent5"/>
      </w:tcPr>
    </w:tblStylePr>
    <w:tblStylePr w:type="lastRow">
      <w:rPr>
        <w:b/>
        <w:bCs/>
      </w:rPr>
      <w:tcPr>
        <w:tcBorders>
          <w:top w:val="double" w:color="D76DCC" w:themeColor="accent5" w:themeTint="99" w:sz="4" w:space="0"/>
        </w:tcBorders>
      </w:tcPr>
    </w:tblStylePr>
    <w:tblStylePr w:type="firstCol">
      <w:rPr>
        <w:b/>
        <w:bCs/>
      </w:rPr>
    </w:tblStylePr>
    <w:tblStylePr w:type="lastCol">
      <w:rPr>
        <w:b/>
        <w:bCs/>
      </w:rPr>
    </w:tblStylePr>
    <w:tblStylePr w:type="band1Vert">
      <w:tcPr>
        <w:shd w:val="clear" w:color="auto" w:fill="F1CEEE" w:themeFill="accent5" w:themeFillTint="33"/>
      </w:tcPr>
    </w:tblStylePr>
    <w:tblStylePr w:type="band1Horz">
      <w:tcPr>
        <w:shd w:val="clear" w:color="auto" w:fill="F1CEEE" w:themeFill="accent5" w:themeFillTint="33"/>
      </w:tcPr>
    </w:tblStylePr>
  </w:style>
  <w:style w:type="table" w:customStyle="1" w:styleId="320">
    <w:name w:val="清单表 4 - 着色 61"/>
    <w:basedOn w:val="88"/>
    <w:qFormat/>
    <w:uiPriority w:val="49"/>
    <w:tblPr>
      <w:tblBorders>
        <w:top w:val="single" w:color="8ED873" w:themeColor="accent6" w:themeTint="99" w:sz="4" w:space="0"/>
        <w:left w:val="single" w:color="8ED873" w:themeColor="accent6" w:themeTint="99" w:sz="4" w:space="0"/>
        <w:bottom w:val="single" w:color="8ED873" w:themeColor="accent6" w:themeTint="99" w:sz="4" w:space="0"/>
        <w:right w:val="single" w:color="8ED873" w:themeColor="accent6" w:themeTint="99" w:sz="4" w:space="0"/>
        <w:insideH w:val="single" w:color="8ED873" w:themeColor="accent6" w:themeTint="99" w:sz="4" w:space="0"/>
      </w:tblBorders>
    </w:tblPr>
    <w:tblStylePr w:type="firstRow">
      <w:rPr>
        <w:b/>
        <w:bCs/>
        <w:color w:val="FFFFFF" w:themeColor="background1"/>
        <w14:textFill>
          <w14:solidFill>
            <w14:schemeClr w14:val="bg1"/>
          </w14:solidFill>
        </w14:textFill>
      </w:rPr>
      <w:tcPr>
        <w:tcBorders>
          <w:top w:val="single" w:color="4EA72E" w:themeColor="accent6" w:sz="4" w:space="0"/>
          <w:left w:val="single" w:color="4EA72E" w:themeColor="accent6" w:sz="4" w:space="0"/>
          <w:bottom w:val="single" w:color="4EA72E" w:themeColor="accent6" w:sz="4" w:space="0"/>
          <w:right w:val="single" w:color="4EA72E" w:themeColor="accent6" w:sz="4" w:space="0"/>
          <w:insideH w:val="nil"/>
        </w:tcBorders>
        <w:shd w:val="clear" w:color="auto" w:fill="4EA72E" w:themeFill="accent6"/>
      </w:tcPr>
    </w:tblStylePr>
    <w:tblStylePr w:type="lastRow">
      <w:rPr>
        <w:b/>
        <w:bCs/>
      </w:rPr>
      <w:tcPr>
        <w:tcBorders>
          <w:top w:val="double" w:color="8ED873" w:themeColor="accent6" w:themeTint="99" w:sz="4" w:space="0"/>
        </w:tcBorders>
      </w:tcPr>
    </w:tblStylePr>
    <w:tblStylePr w:type="firstCol">
      <w:rPr>
        <w:b/>
        <w:bCs/>
      </w:rPr>
    </w:tblStylePr>
    <w:tblStylePr w:type="lastCol">
      <w:rPr>
        <w:b/>
        <w:bCs/>
      </w:rPr>
    </w:tblStylePr>
    <w:tblStylePr w:type="band1Vert">
      <w:tcPr>
        <w:shd w:val="clear" w:color="auto" w:fill="D9F2D0" w:themeFill="accent6" w:themeFillTint="33"/>
      </w:tcPr>
    </w:tblStylePr>
    <w:tblStylePr w:type="band1Horz">
      <w:tcPr>
        <w:shd w:val="clear" w:color="auto" w:fill="D9F2D0" w:themeFill="accent6" w:themeFillTint="33"/>
      </w:tcPr>
    </w:tblStylePr>
  </w:style>
  <w:style w:type="table" w:customStyle="1" w:styleId="321">
    <w:name w:val="清单表 5 深色1"/>
    <w:basedOn w:val="88"/>
    <w:qFormat/>
    <w:uiPriority w:val="50"/>
    <w:rPr>
      <w:color w:val="FFFFFF" w:themeColor="background1"/>
      <w14:textFill>
        <w14:solidFill>
          <w14:schemeClr w14:val="bg1"/>
        </w14:solidFill>
      </w14:textFill>
    </w:rPr>
    <w:tblPr>
      <w:tblBorders>
        <w:top w:val="single" w:color="000000" w:themeColor="text1" w:sz="24" w:space="0"/>
        <w:left w:val="single" w:color="000000" w:themeColor="text1" w:sz="24" w:space="0"/>
        <w:bottom w:val="single" w:color="000000" w:themeColor="text1" w:sz="24" w:space="0"/>
        <w:right w:val="single" w:color="000000" w:themeColor="text1" w:sz="24" w:space="0"/>
      </w:tblBorders>
    </w:tblPr>
    <w:tcPr>
      <w:shd w:val="clear" w:color="auto" w:fill="000000" w:themeFill="text1"/>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322">
    <w:name w:val="清单表 5 深色 - 着色 11"/>
    <w:basedOn w:val="88"/>
    <w:qFormat/>
    <w:uiPriority w:val="50"/>
    <w:rPr>
      <w:color w:val="FFFFFF" w:themeColor="background1"/>
      <w14:textFill>
        <w14:solidFill>
          <w14:schemeClr w14:val="bg1"/>
        </w14:solidFill>
      </w14:textFill>
    </w:rPr>
    <w:tblPr>
      <w:tblBorders>
        <w:top w:val="single" w:color="156082" w:themeColor="accent1" w:sz="24" w:space="0"/>
        <w:left w:val="single" w:color="156082" w:themeColor="accent1" w:sz="24" w:space="0"/>
        <w:bottom w:val="single" w:color="156082" w:themeColor="accent1" w:sz="24" w:space="0"/>
        <w:right w:val="single" w:color="156082" w:themeColor="accent1" w:sz="24" w:space="0"/>
      </w:tblBorders>
    </w:tblPr>
    <w:tcPr>
      <w:shd w:val="clear" w:color="auto" w:fill="156082" w:themeFill="accent1"/>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323">
    <w:name w:val="清单表 5 深色 - 着色 21"/>
    <w:basedOn w:val="88"/>
    <w:qFormat/>
    <w:uiPriority w:val="50"/>
    <w:rPr>
      <w:color w:val="FFFFFF" w:themeColor="background1"/>
      <w14:textFill>
        <w14:solidFill>
          <w14:schemeClr w14:val="bg1"/>
        </w14:solidFill>
      </w14:textFill>
    </w:rPr>
    <w:tblPr>
      <w:tblBorders>
        <w:top w:val="single" w:color="E97132" w:themeColor="accent2" w:sz="24" w:space="0"/>
        <w:left w:val="single" w:color="E97132" w:themeColor="accent2" w:sz="24" w:space="0"/>
        <w:bottom w:val="single" w:color="E97132" w:themeColor="accent2" w:sz="24" w:space="0"/>
        <w:right w:val="single" w:color="E97132" w:themeColor="accent2" w:sz="24" w:space="0"/>
      </w:tblBorders>
    </w:tblPr>
    <w:tcPr>
      <w:shd w:val="clear" w:color="auto" w:fill="E97132" w:themeFill="accent2"/>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324">
    <w:name w:val="清单表 5 深色 - 着色 31"/>
    <w:basedOn w:val="88"/>
    <w:qFormat/>
    <w:uiPriority w:val="50"/>
    <w:rPr>
      <w:color w:val="FFFFFF" w:themeColor="background1"/>
      <w14:textFill>
        <w14:solidFill>
          <w14:schemeClr w14:val="bg1"/>
        </w14:solidFill>
      </w14:textFill>
    </w:rPr>
    <w:tblPr>
      <w:tblBorders>
        <w:top w:val="single" w:color="196B24" w:themeColor="accent3" w:sz="24" w:space="0"/>
        <w:left w:val="single" w:color="196B24" w:themeColor="accent3" w:sz="24" w:space="0"/>
        <w:bottom w:val="single" w:color="196B24" w:themeColor="accent3" w:sz="24" w:space="0"/>
        <w:right w:val="single" w:color="196B24" w:themeColor="accent3" w:sz="24" w:space="0"/>
      </w:tblBorders>
    </w:tblPr>
    <w:tcPr>
      <w:shd w:val="clear" w:color="auto" w:fill="196B24" w:themeFill="accent3"/>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325">
    <w:name w:val="清单表 5 深色 - 着色 41"/>
    <w:basedOn w:val="88"/>
    <w:qFormat/>
    <w:uiPriority w:val="50"/>
    <w:rPr>
      <w:color w:val="FFFFFF" w:themeColor="background1"/>
      <w14:textFill>
        <w14:solidFill>
          <w14:schemeClr w14:val="bg1"/>
        </w14:solidFill>
      </w14:textFill>
    </w:rPr>
    <w:tblPr>
      <w:tblBorders>
        <w:top w:val="single" w:color="0F9ED5" w:themeColor="accent4" w:sz="24" w:space="0"/>
        <w:left w:val="single" w:color="0F9ED5" w:themeColor="accent4" w:sz="24" w:space="0"/>
        <w:bottom w:val="single" w:color="0F9ED5" w:themeColor="accent4" w:sz="24" w:space="0"/>
        <w:right w:val="single" w:color="0F9ED5" w:themeColor="accent4" w:sz="24" w:space="0"/>
      </w:tblBorders>
    </w:tblPr>
    <w:tcPr>
      <w:shd w:val="clear" w:color="auto" w:fill="0F9ED5" w:themeFill="accent4"/>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326">
    <w:name w:val="清单表 5 深色 - 着色 51"/>
    <w:basedOn w:val="88"/>
    <w:qFormat/>
    <w:uiPriority w:val="50"/>
    <w:rPr>
      <w:color w:val="FFFFFF" w:themeColor="background1"/>
      <w14:textFill>
        <w14:solidFill>
          <w14:schemeClr w14:val="bg1"/>
        </w14:solidFill>
      </w14:textFill>
    </w:rPr>
    <w:tblPr>
      <w:tblBorders>
        <w:top w:val="single" w:color="A02B93" w:themeColor="accent5" w:sz="24" w:space="0"/>
        <w:left w:val="single" w:color="A02B93" w:themeColor="accent5" w:sz="24" w:space="0"/>
        <w:bottom w:val="single" w:color="A02B93" w:themeColor="accent5" w:sz="24" w:space="0"/>
        <w:right w:val="single" w:color="A02B93" w:themeColor="accent5" w:sz="24" w:space="0"/>
      </w:tblBorders>
    </w:tblPr>
    <w:tcPr>
      <w:shd w:val="clear" w:color="auto" w:fill="A02B93" w:themeFill="accent5"/>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327">
    <w:name w:val="清单表 5 深色 - 着色 61"/>
    <w:basedOn w:val="88"/>
    <w:qFormat/>
    <w:uiPriority w:val="50"/>
    <w:rPr>
      <w:color w:val="FFFFFF" w:themeColor="background1"/>
      <w14:textFill>
        <w14:solidFill>
          <w14:schemeClr w14:val="bg1"/>
        </w14:solidFill>
      </w14:textFill>
    </w:rPr>
    <w:tblPr>
      <w:tblBorders>
        <w:top w:val="single" w:color="4EA72E" w:themeColor="accent6" w:sz="24" w:space="0"/>
        <w:left w:val="single" w:color="4EA72E" w:themeColor="accent6" w:sz="24" w:space="0"/>
        <w:bottom w:val="single" w:color="4EA72E" w:themeColor="accent6" w:sz="24" w:space="0"/>
        <w:right w:val="single" w:color="4EA72E" w:themeColor="accent6" w:sz="24" w:space="0"/>
      </w:tblBorders>
    </w:tblPr>
    <w:tcPr>
      <w:shd w:val="clear" w:color="auto" w:fill="4EA72E" w:themeFill="accent6"/>
    </w:tcPr>
    <w:tblStylePr w:type="firstRow">
      <w:rPr>
        <w:b/>
        <w:bCs/>
      </w:rPr>
      <w:tcPr>
        <w:tcBorders>
          <w:bottom w:val="single" w:color="FFFFFF" w:themeColor="background1" w:sz="18" w:space="0"/>
        </w:tcBorders>
      </w:tcPr>
    </w:tblStylePr>
    <w:tblStylePr w:type="lastRow">
      <w:rPr>
        <w:b/>
        <w:bCs/>
      </w:rPr>
      <w:tcPr>
        <w:tcBorders>
          <w:top w:val="single" w:color="FFFFFF" w:themeColor="background1" w:sz="4" w:space="0"/>
        </w:tcBorders>
      </w:tcPr>
    </w:tblStylePr>
    <w:tblStylePr w:type="firstCol">
      <w:rPr>
        <w:b/>
        <w:bCs/>
      </w:rPr>
      <w:tcPr>
        <w:tcBorders>
          <w:right w:val="single" w:color="FFFFFF" w:themeColor="background1" w:sz="4" w:space="0"/>
        </w:tcBorders>
      </w:tcPr>
    </w:tblStylePr>
    <w:tblStylePr w:type="lastCol">
      <w:rPr>
        <w:b/>
        <w:bCs/>
      </w:rPr>
      <w:tcPr>
        <w:tcBorders>
          <w:left w:val="single" w:color="FFFFFF" w:themeColor="background1" w:sz="4" w:space="0"/>
        </w:tcBorders>
      </w:tcPr>
    </w:tblStylePr>
    <w:tblStylePr w:type="band1Vert">
      <w:tcPr>
        <w:tcBorders>
          <w:left w:val="single" w:color="FFFFFF" w:themeColor="background1" w:sz="4" w:space="0"/>
          <w:right w:val="single" w:color="FFFFFF" w:themeColor="background1" w:sz="4" w:space="0"/>
        </w:tcBorders>
      </w:tcPr>
    </w:tblStylePr>
    <w:tblStylePr w:type="band2Vert">
      <w:tcPr>
        <w:tcBorders>
          <w:left w:val="single" w:color="FFFFFF" w:themeColor="background1" w:sz="4" w:space="0"/>
          <w:right w:val="single" w:color="FFFFFF" w:themeColor="background1" w:sz="4" w:space="0"/>
        </w:tcBorders>
      </w:tcPr>
    </w:tblStylePr>
    <w:tblStylePr w:type="band1Horz">
      <w:tcPr>
        <w:tcBorders>
          <w:top w:val="single" w:color="FFFFFF" w:themeColor="background1" w:sz="4" w:space="0"/>
          <w:bottom w:val="single" w:color="FFFFFF" w:themeColor="background1" w:sz="4" w:space="0"/>
        </w:tcBorders>
      </w:tcPr>
    </w:tblStylePr>
    <w:tblStylePr w:type="neCell">
      <w:tcPr>
        <w:tcBorders>
          <w:left w:val="nil"/>
        </w:tcBorders>
      </w:tcPr>
    </w:tblStylePr>
    <w:tblStylePr w:type="nwCell">
      <w:tcPr>
        <w:tcBorders>
          <w:right w:val="nil"/>
        </w:tcBorders>
      </w:tcPr>
    </w:tblStylePr>
    <w:tblStylePr w:type="seCell">
      <w:tcPr>
        <w:tcBorders>
          <w:top w:val="nil"/>
          <w:left w:val="nil"/>
        </w:tcBorders>
      </w:tcPr>
    </w:tblStylePr>
    <w:tblStylePr w:type="swCell">
      <w:tcPr>
        <w:tcBorders>
          <w:top w:val="nil"/>
          <w:right w:val="nil"/>
        </w:tcBorders>
      </w:tcPr>
    </w:tblStylePr>
  </w:style>
  <w:style w:type="table" w:customStyle="1" w:styleId="328">
    <w:name w:val="清单表 6 彩色1"/>
    <w:basedOn w:val="88"/>
    <w:qFormat/>
    <w:uiPriority w:val="51"/>
    <w:rPr>
      <w:color w:val="000000" w:themeColor="text1"/>
      <w14:textFill>
        <w14:solidFill>
          <w14:schemeClr w14:val="tx1"/>
        </w14:solidFill>
      </w14:textFill>
    </w:rPr>
    <w:tblPr>
      <w:tblBorders>
        <w:top w:val="single" w:color="000000" w:themeColor="text1" w:sz="4" w:space="0"/>
        <w:bottom w:val="single" w:color="000000" w:themeColor="text1" w:sz="4" w:space="0"/>
      </w:tblBorders>
    </w:tblPr>
    <w:tblStylePr w:type="firstRow">
      <w:rPr>
        <w:b/>
        <w:bCs/>
      </w:rPr>
      <w:tcPr>
        <w:tcBorders>
          <w:bottom w:val="single" w:color="000000" w:themeColor="text1" w:sz="4" w:space="0"/>
        </w:tcBorders>
      </w:tcPr>
    </w:tblStylePr>
    <w:tblStylePr w:type="lastRow">
      <w:rPr>
        <w:b/>
        <w:bCs/>
      </w:rPr>
      <w:tcPr>
        <w:tcBorders>
          <w:top w:val="double" w:color="000000" w:themeColor="text1"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329">
    <w:name w:val="清单表 6 彩色 - 着色 11"/>
    <w:basedOn w:val="88"/>
    <w:qFormat/>
    <w:uiPriority w:val="51"/>
    <w:rPr>
      <w:color w:val="104862" w:themeColor="accent1" w:themeShade="BF"/>
    </w:rPr>
    <w:tblPr>
      <w:tblBorders>
        <w:top w:val="single" w:color="156082" w:themeColor="accent1" w:sz="4" w:space="0"/>
        <w:bottom w:val="single" w:color="156082" w:themeColor="accent1" w:sz="4" w:space="0"/>
      </w:tblBorders>
    </w:tblPr>
    <w:tblStylePr w:type="firstRow">
      <w:rPr>
        <w:b/>
        <w:bCs/>
      </w:rPr>
      <w:tcPr>
        <w:tcBorders>
          <w:bottom w:val="single" w:color="156082" w:themeColor="accent1" w:sz="4" w:space="0"/>
        </w:tcBorders>
      </w:tcPr>
    </w:tblStylePr>
    <w:tblStylePr w:type="lastRow">
      <w:rPr>
        <w:b/>
        <w:bCs/>
      </w:rPr>
      <w:tcPr>
        <w:tcBorders>
          <w:top w:val="double" w:color="156082" w:themeColor="accent1" w:sz="4" w:space="0"/>
        </w:tcBorders>
      </w:tcPr>
    </w:tblStylePr>
    <w:tblStylePr w:type="firstCol">
      <w:rPr>
        <w:b/>
        <w:bCs/>
      </w:rPr>
    </w:tblStylePr>
    <w:tblStylePr w:type="lastCol">
      <w:rPr>
        <w:b/>
        <w:bCs/>
      </w:rPr>
    </w:tblStylePr>
    <w:tblStylePr w:type="band1Vert">
      <w:tcPr>
        <w:shd w:val="clear" w:color="auto" w:fill="C1E4F5" w:themeFill="accent1" w:themeFillTint="33"/>
      </w:tcPr>
    </w:tblStylePr>
    <w:tblStylePr w:type="band1Horz">
      <w:tcPr>
        <w:shd w:val="clear" w:color="auto" w:fill="C1E4F5" w:themeFill="accent1" w:themeFillTint="33"/>
      </w:tcPr>
    </w:tblStylePr>
  </w:style>
  <w:style w:type="table" w:customStyle="1" w:styleId="330">
    <w:name w:val="清单表 6 彩色 - 着色 21"/>
    <w:basedOn w:val="88"/>
    <w:qFormat/>
    <w:uiPriority w:val="51"/>
    <w:rPr>
      <w:color w:val="C04F15" w:themeColor="accent2" w:themeShade="BF"/>
    </w:rPr>
    <w:tblPr>
      <w:tblBorders>
        <w:top w:val="single" w:color="E97132" w:themeColor="accent2" w:sz="4" w:space="0"/>
        <w:bottom w:val="single" w:color="E97132" w:themeColor="accent2" w:sz="4" w:space="0"/>
      </w:tblBorders>
    </w:tblPr>
    <w:tblStylePr w:type="firstRow">
      <w:rPr>
        <w:b/>
        <w:bCs/>
      </w:rPr>
      <w:tcPr>
        <w:tcBorders>
          <w:bottom w:val="single" w:color="E97132" w:themeColor="accent2" w:sz="4" w:space="0"/>
        </w:tcBorders>
      </w:tcPr>
    </w:tblStylePr>
    <w:tblStylePr w:type="lastRow">
      <w:rPr>
        <w:b/>
        <w:bCs/>
      </w:rPr>
      <w:tcPr>
        <w:tcBorders>
          <w:top w:val="double" w:color="E97132" w:themeColor="accent2" w:sz="4" w:space="0"/>
        </w:tcBorders>
      </w:tcPr>
    </w:tblStylePr>
    <w:tblStylePr w:type="firstCol">
      <w:rPr>
        <w:b/>
        <w:bCs/>
      </w:rPr>
    </w:tblStylePr>
    <w:tblStylePr w:type="lastCol">
      <w:rPr>
        <w:b/>
        <w:bCs/>
      </w:rPr>
    </w:tblStylePr>
    <w:tblStylePr w:type="band1Vert">
      <w:tcPr>
        <w:shd w:val="clear" w:color="auto" w:fill="FAE2D5" w:themeFill="accent2" w:themeFillTint="33"/>
      </w:tcPr>
    </w:tblStylePr>
    <w:tblStylePr w:type="band1Horz">
      <w:tcPr>
        <w:shd w:val="clear" w:color="auto" w:fill="FAE2D5" w:themeFill="accent2" w:themeFillTint="33"/>
      </w:tcPr>
    </w:tblStylePr>
  </w:style>
  <w:style w:type="table" w:customStyle="1" w:styleId="331">
    <w:name w:val="清单表 6 彩色 - 着色 31"/>
    <w:basedOn w:val="88"/>
    <w:qFormat/>
    <w:uiPriority w:val="51"/>
    <w:rPr>
      <w:color w:val="13501B" w:themeColor="accent3" w:themeShade="BF"/>
    </w:rPr>
    <w:tblPr>
      <w:tblBorders>
        <w:top w:val="single" w:color="196B24" w:themeColor="accent3" w:sz="4" w:space="0"/>
        <w:bottom w:val="single" w:color="196B24" w:themeColor="accent3" w:sz="4" w:space="0"/>
      </w:tblBorders>
    </w:tblPr>
    <w:tblStylePr w:type="firstRow">
      <w:rPr>
        <w:b/>
        <w:bCs/>
      </w:rPr>
      <w:tcPr>
        <w:tcBorders>
          <w:bottom w:val="single" w:color="196B24" w:themeColor="accent3" w:sz="4" w:space="0"/>
        </w:tcBorders>
      </w:tcPr>
    </w:tblStylePr>
    <w:tblStylePr w:type="lastRow">
      <w:rPr>
        <w:b/>
        <w:bCs/>
      </w:rPr>
      <w:tcPr>
        <w:tcBorders>
          <w:top w:val="double" w:color="196B24" w:themeColor="accent3" w:sz="4" w:space="0"/>
        </w:tcBorders>
      </w:tcPr>
    </w:tblStylePr>
    <w:tblStylePr w:type="firstCol">
      <w:rPr>
        <w:b/>
        <w:bCs/>
      </w:rPr>
    </w:tblStylePr>
    <w:tblStylePr w:type="lastCol">
      <w:rPr>
        <w:b/>
        <w:bCs/>
      </w:rPr>
    </w:tblStylePr>
    <w:tblStylePr w:type="band1Vert">
      <w:tcPr>
        <w:shd w:val="clear" w:color="auto" w:fill="C1F0C8" w:themeFill="accent3" w:themeFillTint="33"/>
      </w:tcPr>
    </w:tblStylePr>
    <w:tblStylePr w:type="band1Horz">
      <w:tcPr>
        <w:shd w:val="clear" w:color="auto" w:fill="C1F0C8" w:themeFill="accent3" w:themeFillTint="33"/>
      </w:tcPr>
    </w:tblStylePr>
  </w:style>
  <w:style w:type="table" w:customStyle="1" w:styleId="332">
    <w:name w:val="清单表 6 彩色 - 着色 41"/>
    <w:basedOn w:val="88"/>
    <w:qFormat/>
    <w:uiPriority w:val="51"/>
    <w:rPr>
      <w:color w:val="0B77A0" w:themeColor="accent4" w:themeShade="BF"/>
    </w:rPr>
    <w:tblPr>
      <w:tblBorders>
        <w:top w:val="single" w:color="0F9ED5" w:themeColor="accent4" w:sz="4" w:space="0"/>
        <w:bottom w:val="single" w:color="0F9ED5" w:themeColor="accent4" w:sz="4" w:space="0"/>
      </w:tblBorders>
    </w:tblPr>
    <w:tblStylePr w:type="firstRow">
      <w:rPr>
        <w:b/>
        <w:bCs/>
      </w:rPr>
      <w:tcPr>
        <w:tcBorders>
          <w:bottom w:val="single" w:color="0F9ED5" w:themeColor="accent4" w:sz="4" w:space="0"/>
        </w:tcBorders>
      </w:tcPr>
    </w:tblStylePr>
    <w:tblStylePr w:type="lastRow">
      <w:rPr>
        <w:b/>
        <w:bCs/>
      </w:rPr>
      <w:tcPr>
        <w:tcBorders>
          <w:top w:val="double" w:color="0F9ED5" w:themeColor="accent4" w:sz="4" w:space="0"/>
        </w:tcBorders>
      </w:tcPr>
    </w:tblStylePr>
    <w:tblStylePr w:type="firstCol">
      <w:rPr>
        <w:b/>
        <w:bCs/>
      </w:rPr>
    </w:tblStylePr>
    <w:tblStylePr w:type="lastCol">
      <w:rPr>
        <w:b/>
        <w:bCs/>
      </w:rPr>
    </w:tblStylePr>
    <w:tblStylePr w:type="band1Vert">
      <w:tcPr>
        <w:shd w:val="clear" w:color="auto" w:fill="CAEDFB" w:themeFill="accent4" w:themeFillTint="33"/>
      </w:tcPr>
    </w:tblStylePr>
    <w:tblStylePr w:type="band1Horz">
      <w:tcPr>
        <w:shd w:val="clear" w:color="auto" w:fill="CAEDFB" w:themeFill="accent4" w:themeFillTint="33"/>
      </w:tcPr>
    </w:tblStylePr>
  </w:style>
  <w:style w:type="table" w:customStyle="1" w:styleId="333">
    <w:name w:val="清单表 6 彩色 - 着色 51"/>
    <w:basedOn w:val="88"/>
    <w:qFormat/>
    <w:uiPriority w:val="51"/>
    <w:rPr>
      <w:color w:val="78206E" w:themeColor="accent5" w:themeShade="BF"/>
    </w:rPr>
    <w:tblPr>
      <w:tblBorders>
        <w:top w:val="single" w:color="A02B93" w:themeColor="accent5" w:sz="4" w:space="0"/>
        <w:bottom w:val="single" w:color="A02B93" w:themeColor="accent5" w:sz="4" w:space="0"/>
      </w:tblBorders>
    </w:tblPr>
    <w:tblStylePr w:type="firstRow">
      <w:rPr>
        <w:b/>
        <w:bCs/>
      </w:rPr>
      <w:tcPr>
        <w:tcBorders>
          <w:bottom w:val="single" w:color="A02B93" w:themeColor="accent5" w:sz="4" w:space="0"/>
        </w:tcBorders>
      </w:tcPr>
    </w:tblStylePr>
    <w:tblStylePr w:type="lastRow">
      <w:rPr>
        <w:b/>
        <w:bCs/>
      </w:rPr>
      <w:tcPr>
        <w:tcBorders>
          <w:top w:val="double" w:color="A02B93" w:themeColor="accent5" w:sz="4" w:space="0"/>
        </w:tcBorders>
      </w:tcPr>
    </w:tblStylePr>
    <w:tblStylePr w:type="firstCol">
      <w:rPr>
        <w:b/>
        <w:bCs/>
      </w:rPr>
    </w:tblStylePr>
    <w:tblStylePr w:type="lastCol">
      <w:rPr>
        <w:b/>
        <w:bCs/>
      </w:rPr>
    </w:tblStylePr>
    <w:tblStylePr w:type="band1Vert">
      <w:tcPr>
        <w:shd w:val="clear" w:color="auto" w:fill="F1CEEE" w:themeFill="accent5" w:themeFillTint="33"/>
      </w:tcPr>
    </w:tblStylePr>
    <w:tblStylePr w:type="band1Horz">
      <w:tcPr>
        <w:shd w:val="clear" w:color="auto" w:fill="F1CEEE" w:themeFill="accent5" w:themeFillTint="33"/>
      </w:tcPr>
    </w:tblStylePr>
  </w:style>
  <w:style w:type="table" w:customStyle="1" w:styleId="334">
    <w:name w:val="清单表 6 彩色 - 着色 61"/>
    <w:basedOn w:val="88"/>
    <w:qFormat/>
    <w:uiPriority w:val="51"/>
    <w:rPr>
      <w:color w:val="3B7D23" w:themeColor="accent6" w:themeShade="BF"/>
    </w:rPr>
    <w:tblPr>
      <w:tblBorders>
        <w:top w:val="single" w:color="4EA72E" w:themeColor="accent6" w:sz="4" w:space="0"/>
        <w:bottom w:val="single" w:color="4EA72E" w:themeColor="accent6" w:sz="4" w:space="0"/>
      </w:tblBorders>
    </w:tblPr>
    <w:tblStylePr w:type="firstRow">
      <w:rPr>
        <w:b/>
        <w:bCs/>
      </w:rPr>
      <w:tcPr>
        <w:tcBorders>
          <w:bottom w:val="single" w:color="4EA72E" w:themeColor="accent6" w:sz="4" w:space="0"/>
        </w:tcBorders>
      </w:tcPr>
    </w:tblStylePr>
    <w:tblStylePr w:type="lastRow">
      <w:rPr>
        <w:b/>
        <w:bCs/>
      </w:rPr>
      <w:tcPr>
        <w:tcBorders>
          <w:top w:val="double" w:color="4EA72E" w:themeColor="accent6" w:sz="4" w:space="0"/>
        </w:tcBorders>
      </w:tcPr>
    </w:tblStylePr>
    <w:tblStylePr w:type="firstCol">
      <w:rPr>
        <w:b/>
        <w:bCs/>
      </w:rPr>
    </w:tblStylePr>
    <w:tblStylePr w:type="lastCol">
      <w:rPr>
        <w:b/>
        <w:bCs/>
      </w:rPr>
    </w:tblStylePr>
    <w:tblStylePr w:type="band1Vert">
      <w:tcPr>
        <w:shd w:val="clear" w:color="auto" w:fill="D9F2D0" w:themeFill="accent6" w:themeFillTint="33"/>
      </w:tcPr>
    </w:tblStylePr>
    <w:tblStylePr w:type="band1Horz">
      <w:tcPr>
        <w:shd w:val="clear" w:color="auto" w:fill="D9F2D0" w:themeFill="accent6" w:themeFillTint="33"/>
      </w:tcPr>
    </w:tblStylePr>
  </w:style>
  <w:style w:type="table" w:customStyle="1" w:styleId="335">
    <w:name w:val="清单表 7 彩色1"/>
    <w:basedOn w:val="88"/>
    <w:qFormat/>
    <w:uiPriority w:val="52"/>
    <w:rPr>
      <w:color w:val="000000" w:themeColor="text1"/>
      <w14:textFill>
        <w14:solidFill>
          <w14:schemeClr w14:val="tx1"/>
        </w14:solidFill>
      </w14:textFill>
    </w:rPr>
    <w:tblStylePr w:type="firstRow">
      <w:rPr>
        <w:rFonts w:asciiTheme="majorHAnsi" w:hAnsiTheme="majorHAnsi" w:eastAsiaTheme="majorEastAsia" w:cstheme="majorBidi"/>
        <w:i/>
        <w:iCs/>
        <w:sz w:val="26"/>
      </w:rPr>
      <w:tcPr>
        <w:tcBorders>
          <w:bottom w:val="single" w:color="000000" w:themeColor="text1"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000000" w:themeColor="tex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000000" w:themeColor="text1"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000000" w:themeColor="text1" w:sz="4" w:space="0"/>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336">
    <w:name w:val="清单表 7 彩色 - 着色 11"/>
    <w:basedOn w:val="88"/>
    <w:qFormat/>
    <w:uiPriority w:val="52"/>
    <w:rPr>
      <w:color w:val="104862" w:themeColor="accent1" w:themeShade="BF"/>
    </w:rPr>
    <w:tblStylePr w:type="firstRow">
      <w:rPr>
        <w:rFonts w:asciiTheme="majorHAnsi" w:hAnsiTheme="majorHAnsi" w:eastAsiaTheme="majorEastAsia" w:cstheme="majorBidi"/>
        <w:i/>
        <w:iCs/>
        <w:sz w:val="26"/>
      </w:rPr>
      <w:tcPr>
        <w:tcBorders>
          <w:bottom w:val="single" w:color="156082" w:themeColor="accent1"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156082" w:themeColor="accen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156082" w:themeColor="accent1"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156082" w:themeColor="accent1" w:sz="4" w:space="0"/>
        </w:tcBorders>
        <w:shd w:val="clear" w:color="auto" w:fill="FFFFFF" w:themeFill="background1"/>
      </w:tcPr>
    </w:tblStylePr>
    <w:tblStylePr w:type="band1Vert">
      <w:tcPr>
        <w:shd w:val="clear" w:color="auto" w:fill="C1E4F5" w:themeFill="accent1" w:themeFillTint="33"/>
      </w:tcPr>
    </w:tblStylePr>
    <w:tblStylePr w:type="band1Horz">
      <w:tcPr>
        <w:shd w:val="clear" w:color="auto" w:fill="C1E4F5" w:themeFill="accent1"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337">
    <w:name w:val="清单表 7 彩色 - 着色 21"/>
    <w:basedOn w:val="88"/>
    <w:qFormat/>
    <w:uiPriority w:val="52"/>
    <w:rPr>
      <w:color w:val="C04F15" w:themeColor="accent2" w:themeShade="BF"/>
    </w:rPr>
    <w:tblStylePr w:type="firstRow">
      <w:rPr>
        <w:rFonts w:asciiTheme="majorHAnsi" w:hAnsiTheme="majorHAnsi" w:eastAsiaTheme="majorEastAsia" w:cstheme="majorBidi"/>
        <w:i/>
        <w:iCs/>
        <w:sz w:val="26"/>
      </w:rPr>
      <w:tcPr>
        <w:tcBorders>
          <w:bottom w:val="single" w:color="E97132" w:themeColor="accent2"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E97132" w:themeColor="accent2"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E97132" w:themeColor="accent2"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E97132" w:themeColor="accent2" w:sz="4" w:space="0"/>
        </w:tcBorders>
        <w:shd w:val="clear" w:color="auto" w:fill="FFFFFF" w:themeFill="background1"/>
      </w:tcPr>
    </w:tblStylePr>
    <w:tblStylePr w:type="band1Vert">
      <w:tcPr>
        <w:shd w:val="clear" w:color="auto" w:fill="FAE2D5" w:themeFill="accent2" w:themeFillTint="33"/>
      </w:tcPr>
    </w:tblStylePr>
    <w:tblStylePr w:type="band1Horz">
      <w:tcPr>
        <w:shd w:val="clear" w:color="auto" w:fill="FAE2D5" w:themeFill="accent2"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338">
    <w:name w:val="清单表 7 彩色 - 着色 31"/>
    <w:basedOn w:val="88"/>
    <w:qFormat/>
    <w:uiPriority w:val="52"/>
    <w:rPr>
      <w:color w:val="13501B" w:themeColor="accent3" w:themeShade="BF"/>
    </w:rPr>
    <w:tblStylePr w:type="firstRow">
      <w:rPr>
        <w:rFonts w:asciiTheme="majorHAnsi" w:hAnsiTheme="majorHAnsi" w:eastAsiaTheme="majorEastAsia" w:cstheme="majorBidi"/>
        <w:i/>
        <w:iCs/>
        <w:sz w:val="26"/>
      </w:rPr>
      <w:tcPr>
        <w:tcBorders>
          <w:bottom w:val="single" w:color="196B24" w:themeColor="accent3"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196B24" w:themeColor="accent3"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196B24" w:themeColor="accent3"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196B24" w:themeColor="accent3" w:sz="4" w:space="0"/>
        </w:tcBorders>
        <w:shd w:val="clear" w:color="auto" w:fill="FFFFFF" w:themeFill="background1"/>
      </w:tcPr>
    </w:tblStylePr>
    <w:tblStylePr w:type="band1Vert">
      <w:tcPr>
        <w:shd w:val="clear" w:color="auto" w:fill="C1F0C8" w:themeFill="accent3" w:themeFillTint="33"/>
      </w:tcPr>
    </w:tblStylePr>
    <w:tblStylePr w:type="band1Horz">
      <w:tcPr>
        <w:shd w:val="clear" w:color="auto" w:fill="C1F0C8" w:themeFill="accent3"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339">
    <w:name w:val="清单表 7 彩色 - 着色 41"/>
    <w:basedOn w:val="88"/>
    <w:qFormat/>
    <w:uiPriority w:val="52"/>
    <w:rPr>
      <w:color w:val="0B77A0" w:themeColor="accent4" w:themeShade="BF"/>
    </w:rPr>
    <w:tblStylePr w:type="firstRow">
      <w:rPr>
        <w:rFonts w:asciiTheme="majorHAnsi" w:hAnsiTheme="majorHAnsi" w:eastAsiaTheme="majorEastAsia" w:cstheme="majorBidi"/>
        <w:i/>
        <w:iCs/>
        <w:sz w:val="26"/>
      </w:rPr>
      <w:tcPr>
        <w:tcBorders>
          <w:bottom w:val="single" w:color="0F9ED5" w:themeColor="accent4"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0F9ED5" w:themeColor="accent4"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0F9ED5" w:themeColor="accent4"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0F9ED5" w:themeColor="accent4" w:sz="4" w:space="0"/>
        </w:tcBorders>
        <w:shd w:val="clear" w:color="auto" w:fill="FFFFFF" w:themeFill="background1"/>
      </w:tcPr>
    </w:tblStylePr>
    <w:tblStylePr w:type="band1Vert">
      <w:tcPr>
        <w:shd w:val="clear" w:color="auto" w:fill="CAEDFB" w:themeFill="accent4" w:themeFillTint="33"/>
      </w:tcPr>
    </w:tblStylePr>
    <w:tblStylePr w:type="band1Horz">
      <w:tcPr>
        <w:shd w:val="clear" w:color="auto" w:fill="CAEDFB" w:themeFill="accent4"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340">
    <w:name w:val="清单表 7 彩色 - 着色 51"/>
    <w:basedOn w:val="88"/>
    <w:qFormat/>
    <w:uiPriority w:val="52"/>
    <w:rPr>
      <w:color w:val="78206E" w:themeColor="accent5" w:themeShade="BF"/>
    </w:rPr>
    <w:tblStylePr w:type="firstRow">
      <w:rPr>
        <w:rFonts w:asciiTheme="majorHAnsi" w:hAnsiTheme="majorHAnsi" w:eastAsiaTheme="majorEastAsia" w:cstheme="majorBidi"/>
        <w:i/>
        <w:iCs/>
        <w:sz w:val="26"/>
      </w:rPr>
      <w:tcPr>
        <w:tcBorders>
          <w:bottom w:val="single" w:color="A02B93" w:themeColor="accent5"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A02B93" w:themeColor="accent5"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A02B93" w:themeColor="accent5"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A02B93" w:themeColor="accent5" w:sz="4" w:space="0"/>
        </w:tcBorders>
        <w:shd w:val="clear" w:color="auto" w:fill="FFFFFF" w:themeFill="background1"/>
      </w:tcPr>
    </w:tblStylePr>
    <w:tblStylePr w:type="band1Vert">
      <w:tcPr>
        <w:shd w:val="clear" w:color="auto" w:fill="F1CEEE" w:themeFill="accent5" w:themeFillTint="33"/>
      </w:tcPr>
    </w:tblStylePr>
    <w:tblStylePr w:type="band1Horz">
      <w:tcPr>
        <w:shd w:val="clear" w:color="auto" w:fill="F1CEEE" w:themeFill="accent5"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table" w:customStyle="1" w:styleId="341">
    <w:name w:val="清单表 7 彩色 - 着色 61"/>
    <w:basedOn w:val="88"/>
    <w:qFormat/>
    <w:uiPriority w:val="52"/>
    <w:rPr>
      <w:color w:val="3B7D23" w:themeColor="accent6" w:themeShade="BF"/>
    </w:rPr>
    <w:tblStylePr w:type="firstRow">
      <w:rPr>
        <w:rFonts w:asciiTheme="majorHAnsi" w:hAnsiTheme="majorHAnsi" w:eastAsiaTheme="majorEastAsia" w:cstheme="majorBidi"/>
        <w:i/>
        <w:iCs/>
        <w:sz w:val="26"/>
      </w:rPr>
      <w:tcPr>
        <w:tcBorders>
          <w:bottom w:val="single" w:color="4EA72E" w:themeColor="accent6"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4EA72E" w:themeColor="accent6"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4EA72E" w:themeColor="accent6"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4EA72E" w:themeColor="accent6" w:sz="4" w:space="0"/>
        </w:tcBorders>
        <w:shd w:val="clear" w:color="auto" w:fill="FFFFFF" w:themeFill="background1"/>
      </w:tcPr>
    </w:tblStylePr>
    <w:tblStylePr w:type="band1Vert">
      <w:tcPr>
        <w:shd w:val="clear" w:color="auto" w:fill="D9F2D0" w:themeFill="accent6" w:themeFillTint="33"/>
      </w:tcPr>
    </w:tblStylePr>
    <w:tblStylePr w:type="band1Horz">
      <w:tcPr>
        <w:shd w:val="clear" w:color="auto" w:fill="D9F2D0" w:themeFill="accent6" w:themeFillTint="33"/>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character" w:customStyle="1" w:styleId="342">
    <w:name w:val="书籍标题1"/>
    <w:basedOn w:val="231"/>
    <w:qFormat/>
    <w:uiPriority w:val="33"/>
    <w:rPr>
      <w:b/>
      <w:bCs/>
      <w:i/>
      <w:iCs/>
      <w:spacing w:val="5"/>
    </w:rPr>
  </w:style>
  <w:style w:type="paragraph" w:customStyle="1" w:styleId="343">
    <w:name w:val="书目1"/>
    <w:basedOn w:val="1"/>
    <w:next w:val="1"/>
    <w:semiHidden/>
    <w:unhideWhenUsed/>
    <w:qFormat/>
    <w:uiPriority w:val="37"/>
  </w:style>
  <w:style w:type="table" w:customStyle="1" w:styleId="344">
    <w:name w:val="网格表 1 浅色1"/>
    <w:basedOn w:val="88"/>
    <w:qFormat/>
    <w:uiPriority w:val="46"/>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345">
    <w:name w:val="网格表 1 浅色 - 着色 11"/>
    <w:basedOn w:val="88"/>
    <w:qFormat/>
    <w:uiPriority w:val="46"/>
    <w:tblPr>
      <w:tbl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insideH w:val="single" w:color="83CAEB" w:themeColor="accent1" w:themeTint="66" w:sz="4" w:space="0"/>
        <w:insideV w:val="single" w:color="83CAEB" w:themeColor="accent1" w:themeTint="66" w:sz="4" w:space="0"/>
      </w:tblBorders>
    </w:tblPr>
    <w:tblStylePr w:type="firstRow">
      <w:rPr>
        <w:b/>
        <w:bCs/>
      </w:rPr>
      <w:tcPr>
        <w:tcBorders>
          <w:bottom w:val="single" w:color="45B0E1" w:themeColor="accent1" w:themeTint="99" w:sz="12" w:space="0"/>
        </w:tcBorders>
      </w:tcPr>
    </w:tblStylePr>
    <w:tblStylePr w:type="lastRow">
      <w:rPr>
        <w:b/>
        <w:bCs/>
      </w:rPr>
      <w:tcPr>
        <w:tcBorders>
          <w:top w:val="double" w:color="45B0E1" w:themeColor="accent1" w:themeTint="99" w:sz="2" w:space="0"/>
        </w:tcBorders>
      </w:tcPr>
    </w:tblStylePr>
    <w:tblStylePr w:type="firstCol">
      <w:rPr>
        <w:b/>
        <w:bCs/>
      </w:rPr>
    </w:tblStylePr>
    <w:tblStylePr w:type="lastCol">
      <w:rPr>
        <w:b/>
        <w:bCs/>
      </w:rPr>
    </w:tblStylePr>
  </w:style>
  <w:style w:type="table" w:customStyle="1" w:styleId="346">
    <w:name w:val="网格表 1 浅色 - 着色 21"/>
    <w:basedOn w:val="88"/>
    <w:qFormat/>
    <w:uiPriority w:val="46"/>
    <w:tblPr>
      <w:tblBorders>
        <w:top w:val="single" w:color="F6C6AC" w:themeColor="accent2" w:themeTint="66" w:sz="4" w:space="0"/>
        <w:left w:val="single" w:color="F6C6AC" w:themeColor="accent2" w:themeTint="66" w:sz="4" w:space="0"/>
        <w:bottom w:val="single" w:color="F6C6AC" w:themeColor="accent2" w:themeTint="66" w:sz="4" w:space="0"/>
        <w:right w:val="single" w:color="F6C6AC" w:themeColor="accent2" w:themeTint="66" w:sz="4" w:space="0"/>
        <w:insideH w:val="single" w:color="F6C6AC" w:themeColor="accent2" w:themeTint="66" w:sz="4" w:space="0"/>
        <w:insideV w:val="single" w:color="F6C6AC" w:themeColor="accent2" w:themeTint="66" w:sz="4" w:space="0"/>
      </w:tblBorders>
    </w:tblPr>
    <w:tblStylePr w:type="firstRow">
      <w:rPr>
        <w:b/>
        <w:bCs/>
      </w:rPr>
      <w:tcPr>
        <w:tcBorders>
          <w:bottom w:val="single" w:color="F1A983" w:themeColor="accent2" w:themeTint="99" w:sz="12" w:space="0"/>
        </w:tcBorders>
      </w:tcPr>
    </w:tblStylePr>
    <w:tblStylePr w:type="lastRow">
      <w:rPr>
        <w:b/>
        <w:bCs/>
      </w:rPr>
      <w:tcPr>
        <w:tcBorders>
          <w:top w:val="double" w:color="F1A983" w:themeColor="accent2" w:themeTint="99" w:sz="2" w:space="0"/>
        </w:tcBorders>
      </w:tcPr>
    </w:tblStylePr>
    <w:tblStylePr w:type="firstCol">
      <w:rPr>
        <w:b/>
        <w:bCs/>
      </w:rPr>
    </w:tblStylePr>
    <w:tblStylePr w:type="lastCol">
      <w:rPr>
        <w:b/>
        <w:bCs/>
      </w:rPr>
    </w:tblStylePr>
  </w:style>
  <w:style w:type="table" w:customStyle="1" w:styleId="347">
    <w:name w:val="网格表 1 浅色 - 着色 31"/>
    <w:basedOn w:val="88"/>
    <w:qFormat/>
    <w:uiPriority w:val="46"/>
    <w:tblPr>
      <w:tblBorders>
        <w:top w:val="single" w:color="84E291" w:themeColor="accent3" w:themeTint="66" w:sz="4" w:space="0"/>
        <w:left w:val="single" w:color="84E291" w:themeColor="accent3" w:themeTint="66" w:sz="4" w:space="0"/>
        <w:bottom w:val="single" w:color="84E291" w:themeColor="accent3" w:themeTint="66" w:sz="4" w:space="0"/>
        <w:right w:val="single" w:color="84E291" w:themeColor="accent3" w:themeTint="66" w:sz="4" w:space="0"/>
        <w:insideH w:val="single" w:color="84E291" w:themeColor="accent3" w:themeTint="66" w:sz="4" w:space="0"/>
        <w:insideV w:val="single" w:color="84E291" w:themeColor="accent3" w:themeTint="66" w:sz="4" w:space="0"/>
      </w:tblBorders>
    </w:tblPr>
    <w:tblStylePr w:type="firstRow">
      <w:rPr>
        <w:b/>
        <w:bCs/>
      </w:rPr>
      <w:tcPr>
        <w:tcBorders>
          <w:bottom w:val="single" w:color="47D45A" w:themeColor="accent3" w:themeTint="99" w:sz="12" w:space="0"/>
        </w:tcBorders>
      </w:tcPr>
    </w:tblStylePr>
    <w:tblStylePr w:type="lastRow">
      <w:rPr>
        <w:b/>
        <w:bCs/>
      </w:rPr>
      <w:tcPr>
        <w:tcBorders>
          <w:top w:val="double" w:color="47D45A" w:themeColor="accent3" w:themeTint="99" w:sz="2" w:space="0"/>
        </w:tcBorders>
      </w:tcPr>
    </w:tblStylePr>
    <w:tblStylePr w:type="firstCol">
      <w:rPr>
        <w:b/>
        <w:bCs/>
      </w:rPr>
    </w:tblStylePr>
    <w:tblStylePr w:type="lastCol">
      <w:rPr>
        <w:b/>
        <w:bCs/>
      </w:rPr>
    </w:tblStylePr>
  </w:style>
  <w:style w:type="table" w:customStyle="1" w:styleId="348">
    <w:name w:val="网格表 1 浅色 - 着色 41"/>
    <w:basedOn w:val="88"/>
    <w:qFormat/>
    <w:uiPriority w:val="46"/>
    <w:tblPr>
      <w:tblBorders>
        <w:top w:val="single" w:color="95DCF7" w:themeColor="accent4" w:themeTint="66" w:sz="4" w:space="0"/>
        <w:left w:val="single" w:color="95DCF7" w:themeColor="accent4" w:themeTint="66" w:sz="4" w:space="0"/>
        <w:bottom w:val="single" w:color="95DCF7" w:themeColor="accent4" w:themeTint="66" w:sz="4" w:space="0"/>
        <w:right w:val="single" w:color="95DCF7" w:themeColor="accent4" w:themeTint="66" w:sz="4" w:space="0"/>
        <w:insideH w:val="single" w:color="95DCF7" w:themeColor="accent4" w:themeTint="66" w:sz="4" w:space="0"/>
        <w:insideV w:val="single" w:color="95DCF7" w:themeColor="accent4" w:themeTint="66" w:sz="4" w:space="0"/>
      </w:tblBorders>
    </w:tblPr>
    <w:tblStylePr w:type="firstRow">
      <w:rPr>
        <w:b/>
        <w:bCs/>
      </w:rPr>
      <w:tcPr>
        <w:tcBorders>
          <w:bottom w:val="single" w:color="60CBF3" w:themeColor="accent4" w:themeTint="99" w:sz="12" w:space="0"/>
        </w:tcBorders>
      </w:tcPr>
    </w:tblStylePr>
    <w:tblStylePr w:type="lastRow">
      <w:rPr>
        <w:b/>
        <w:bCs/>
      </w:rPr>
      <w:tcPr>
        <w:tcBorders>
          <w:top w:val="double" w:color="60CBF3" w:themeColor="accent4" w:themeTint="99" w:sz="2" w:space="0"/>
        </w:tcBorders>
      </w:tcPr>
    </w:tblStylePr>
    <w:tblStylePr w:type="firstCol">
      <w:rPr>
        <w:b/>
        <w:bCs/>
      </w:rPr>
    </w:tblStylePr>
    <w:tblStylePr w:type="lastCol">
      <w:rPr>
        <w:b/>
        <w:bCs/>
      </w:rPr>
    </w:tblStylePr>
  </w:style>
  <w:style w:type="table" w:customStyle="1" w:styleId="349">
    <w:name w:val="网格表 1 浅色 - 着色 51"/>
    <w:basedOn w:val="88"/>
    <w:qFormat/>
    <w:uiPriority w:val="46"/>
    <w:tblPr>
      <w:tblBorders>
        <w:top w:val="single" w:color="E49EDD" w:themeColor="accent5" w:themeTint="66" w:sz="4" w:space="0"/>
        <w:left w:val="single" w:color="E49EDD" w:themeColor="accent5" w:themeTint="66" w:sz="4" w:space="0"/>
        <w:bottom w:val="single" w:color="E49EDD" w:themeColor="accent5" w:themeTint="66" w:sz="4" w:space="0"/>
        <w:right w:val="single" w:color="E49EDD" w:themeColor="accent5" w:themeTint="66" w:sz="4" w:space="0"/>
        <w:insideH w:val="single" w:color="E49EDD" w:themeColor="accent5" w:themeTint="66" w:sz="4" w:space="0"/>
        <w:insideV w:val="single" w:color="E49EDD" w:themeColor="accent5" w:themeTint="66" w:sz="4" w:space="0"/>
      </w:tblBorders>
    </w:tblPr>
    <w:tblStylePr w:type="firstRow">
      <w:rPr>
        <w:b/>
        <w:bCs/>
      </w:rPr>
      <w:tcPr>
        <w:tcBorders>
          <w:bottom w:val="single" w:color="D76DCC" w:themeColor="accent5" w:themeTint="99" w:sz="12" w:space="0"/>
        </w:tcBorders>
      </w:tcPr>
    </w:tblStylePr>
    <w:tblStylePr w:type="lastRow">
      <w:rPr>
        <w:b/>
        <w:bCs/>
      </w:rPr>
      <w:tcPr>
        <w:tcBorders>
          <w:top w:val="double" w:color="D76DCC" w:themeColor="accent5" w:themeTint="99" w:sz="2" w:space="0"/>
        </w:tcBorders>
      </w:tcPr>
    </w:tblStylePr>
    <w:tblStylePr w:type="firstCol">
      <w:rPr>
        <w:b/>
        <w:bCs/>
      </w:rPr>
    </w:tblStylePr>
    <w:tblStylePr w:type="lastCol">
      <w:rPr>
        <w:b/>
        <w:bCs/>
      </w:rPr>
    </w:tblStylePr>
  </w:style>
  <w:style w:type="table" w:customStyle="1" w:styleId="350">
    <w:name w:val="网格表 1 浅色 - 着色 61"/>
    <w:basedOn w:val="88"/>
    <w:qFormat/>
    <w:uiPriority w:val="46"/>
    <w:tblPr>
      <w:tblBorders>
        <w:top w:val="single" w:color="B3E5A1" w:themeColor="accent6" w:themeTint="66" w:sz="4" w:space="0"/>
        <w:left w:val="single" w:color="B3E5A1" w:themeColor="accent6" w:themeTint="66" w:sz="4" w:space="0"/>
        <w:bottom w:val="single" w:color="B3E5A1" w:themeColor="accent6" w:themeTint="66" w:sz="4" w:space="0"/>
        <w:right w:val="single" w:color="B3E5A1" w:themeColor="accent6" w:themeTint="66" w:sz="4" w:space="0"/>
        <w:insideH w:val="single" w:color="B3E5A1" w:themeColor="accent6" w:themeTint="66" w:sz="4" w:space="0"/>
        <w:insideV w:val="single" w:color="B3E5A1" w:themeColor="accent6" w:themeTint="66" w:sz="4" w:space="0"/>
      </w:tblBorders>
    </w:tblPr>
    <w:tblStylePr w:type="firstRow">
      <w:rPr>
        <w:b/>
        <w:bCs/>
      </w:rPr>
      <w:tcPr>
        <w:tcBorders>
          <w:bottom w:val="single" w:color="8ED873" w:themeColor="accent6" w:themeTint="99" w:sz="12" w:space="0"/>
        </w:tcBorders>
      </w:tcPr>
    </w:tblStylePr>
    <w:tblStylePr w:type="lastRow">
      <w:rPr>
        <w:b/>
        <w:bCs/>
      </w:rPr>
      <w:tcPr>
        <w:tcBorders>
          <w:top w:val="double" w:color="8ED873" w:themeColor="accent6" w:themeTint="99" w:sz="2" w:space="0"/>
        </w:tcBorders>
      </w:tcPr>
    </w:tblStylePr>
    <w:tblStylePr w:type="firstCol">
      <w:rPr>
        <w:b/>
        <w:bCs/>
      </w:rPr>
    </w:tblStylePr>
    <w:tblStylePr w:type="lastCol">
      <w:rPr>
        <w:b/>
        <w:bCs/>
      </w:rPr>
    </w:tblStylePr>
  </w:style>
  <w:style w:type="table" w:customStyle="1" w:styleId="351">
    <w:name w:val="网格表 21"/>
    <w:basedOn w:val="88"/>
    <w:qFormat/>
    <w:uiPriority w:val="47"/>
    <w:tblPr>
      <w:tblBorders>
        <w:top w:val="single" w:color="666666" w:themeColor="text1" w:themeTint="99" w:sz="2" w:space="0"/>
        <w:bottom w:val="single" w:color="666666" w:themeColor="text1" w:themeTint="99" w:sz="2" w:space="0"/>
        <w:insideH w:val="single" w:color="666666" w:themeColor="text1" w:themeTint="99" w:sz="2" w:space="0"/>
        <w:insideV w:val="single" w:color="666666" w:themeColor="text1" w:themeTint="99" w:sz="2" w:space="0"/>
      </w:tblBorders>
    </w:tblPr>
    <w:tblStylePr w:type="firstRow">
      <w:rPr>
        <w:b/>
        <w:bCs/>
      </w:rPr>
      <w:tcPr>
        <w:tcBorders>
          <w:top w:val="nil"/>
          <w:bottom w:val="single" w:color="666666" w:themeColor="text1" w:themeTint="99" w:sz="12" w:space="0"/>
          <w:insideH w:val="nil"/>
          <w:insideV w:val="nil"/>
        </w:tcBorders>
        <w:shd w:val="clear" w:color="auto" w:fill="FFFFFF" w:themeFill="background1"/>
      </w:tcPr>
    </w:tblStylePr>
    <w:tblStylePr w:type="lastRow">
      <w:rPr>
        <w:b/>
        <w:bCs/>
      </w:rPr>
      <w:tcPr>
        <w:tcBorders>
          <w:top w:val="double" w:color="666666" w:themeColor="tex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352">
    <w:name w:val="网格表 2 - 着色 11"/>
    <w:basedOn w:val="88"/>
    <w:qFormat/>
    <w:uiPriority w:val="47"/>
    <w:tblPr>
      <w:tblBorders>
        <w:top w:val="single" w:color="45B0E1" w:themeColor="accent1" w:themeTint="99" w:sz="2" w:space="0"/>
        <w:bottom w:val="single" w:color="45B0E1" w:themeColor="accent1" w:themeTint="99" w:sz="2" w:space="0"/>
        <w:insideH w:val="single" w:color="45B0E1" w:themeColor="accent1" w:themeTint="99" w:sz="2" w:space="0"/>
        <w:insideV w:val="single" w:color="45B0E1" w:themeColor="accent1" w:themeTint="99" w:sz="2" w:space="0"/>
      </w:tblBorders>
    </w:tblPr>
    <w:tblStylePr w:type="firstRow">
      <w:rPr>
        <w:b/>
        <w:bCs/>
      </w:rPr>
      <w:tcPr>
        <w:tcBorders>
          <w:top w:val="nil"/>
          <w:bottom w:val="single" w:color="45B0E1" w:themeColor="accent1" w:themeTint="99" w:sz="12" w:space="0"/>
          <w:insideH w:val="nil"/>
          <w:insideV w:val="nil"/>
        </w:tcBorders>
        <w:shd w:val="clear" w:color="auto" w:fill="FFFFFF" w:themeFill="background1"/>
      </w:tcPr>
    </w:tblStylePr>
    <w:tblStylePr w:type="lastRow">
      <w:rPr>
        <w:b/>
        <w:bCs/>
      </w:rPr>
      <w:tcPr>
        <w:tcBorders>
          <w:top w:val="double" w:color="45B0E1"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C1E4F5" w:themeFill="accent1" w:themeFillTint="33"/>
      </w:tcPr>
    </w:tblStylePr>
    <w:tblStylePr w:type="band1Horz">
      <w:tcPr>
        <w:shd w:val="clear" w:color="auto" w:fill="C1E4F5" w:themeFill="accent1" w:themeFillTint="33"/>
      </w:tcPr>
    </w:tblStylePr>
  </w:style>
  <w:style w:type="table" w:customStyle="1" w:styleId="353">
    <w:name w:val="网格表 2 - 着色 21"/>
    <w:basedOn w:val="88"/>
    <w:qFormat/>
    <w:uiPriority w:val="47"/>
    <w:tblPr>
      <w:tblBorders>
        <w:top w:val="single" w:color="F1A983" w:themeColor="accent2" w:themeTint="99" w:sz="2" w:space="0"/>
        <w:bottom w:val="single" w:color="F1A983" w:themeColor="accent2" w:themeTint="99" w:sz="2" w:space="0"/>
        <w:insideH w:val="single" w:color="F1A983" w:themeColor="accent2" w:themeTint="99" w:sz="2" w:space="0"/>
        <w:insideV w:val="single" w:color="F1A983" w:themeColor="accent2" w:themeTint="99" w:sz="2" w:space="0"/>
      </w:tblBorders>
    </w:tblPr>
    <w:tblStylePr w:type="firstRow">
      <w:rPr>
        <w:b/>
        <w:bCs/>
      </w:rPr>
      <w:tcPr>
        <w:tcBorders>
          <w:top w:val="nil"/>
          <w:bottom w:val="single" w:color="F1A983" w:themeColor="accent2" w:themeTint="99" w:sz="12" w:space="0"/>
          <w:insideH w:val="nil"/>
          <w:insideV w:val="nil"/>
        </w:tcBorders>
        <w:shd w:val="clear" w:color="auto" w:fill="FFFFFF" w:themeFill="background1"/>
      </w:tcPr>
    </w:tblStylePr>
    <w:tblStylePr w:type="lastRow">
      <w:rPr>
        <w:b/>
        <w:bCs/>
      </w:rPr>
      <w:tcPr>
        <w:tcBorders>
          <w:top w:val="double" w:color="F1A983" w:themeColor="accent2"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FAE2D5" w:themeFill="accent2" w:themeFillTint="33"/>
      </w:tcPr>
    </w:tblStylePr>
    <w:tblStylePr w:type="band1Horz">
      <w:tcPr>
        <w:shd w:val="clear" w:color="auto" w:fill="FAE2D5" w:themeFill="accent2" w:themeFillTint="33"/>
      </w:tcPr>
    </w:tblStylePr>
  </w:style>
  <w:style w:type="table" w:customStyle="1" w:styleId="354">
    <w:name w:val="网格表 2 - 着色 31"/>
    <w:basedOn w:val="88"/>
    <w:qFormat/>
    <w:uiPriority w:val="47"/>
    <w:tblPr>
      <w:tblBorders>
        <w:top w:val="single" w:color="47D45A" w:themeColor="accent3" w:themeTint="99" w:sz="2" w:space="0"/>
        <w:bottom w:val="single" w:color="47D45A" w:themeColor="accent3" w:themeTint="99" w:sz="2" w:space="0"/>
        <w:insideH w:val="single" w:color="47D45A" w:themeColor="accent3" w:themeTint="99" w:sz="2" w:space="0"/>
        <w:insideV w:val="single" w:color="47D45A" w:themeColor="accent3" w:themeTint="99" w:sz="2" w:space="0"/>
      </w:tblBorders>
    </w:tblPr>
    <w:tblStylePr w:type="firstRow">
      <w:rPr>
        <w:b/>
        <w:bCs/>
      </w:rPr>
      <w:tcPr>
        <w:tcBorders>
          <w:top w:val="nil"/>
          <w:bottom w:val="single" w:color="47D45A" w:themeColor="accent3" w:themeTint="99" w:sz="12" w:space="0"/>
          <w:insideH w:val="nil"/>
          <w:insideV w:val="nil"/>
        </w:tcBorders>
        <w:shd w:val="clear" w:color="auto" w:fill="FFFFFF" w:themeFill="background1"/>
      </w:tcPr>
    </w:tblStylePr>
    <w:tblStylePr w:type="lastRow">
      <w:rPr>
        <w:b/>
        <w:bCs/>
      </w:rPr>
      <w:tcPr>
        <w:tcBorders>
          <w:top w:val="double" w:color="47D45A" w:themeColor="accent3"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C1F0C8" w:themeFill="accent3" w:themeFillTint="33"/>
      </w:tcPr>
    </w:tblStylePr>
    <w:tblStylePr w:type="band1Horz">
      <w:tcPr>
        <w:shd w:val="clear" w:color="auto" w:fill="C1F0C8" w:themeFill="accent3" w:themeFillTint="33"/>
      </w:tcPr>
    </w:tblStylePr>
  </w:style>
  <w:style w:type="table" w:customStyle="1" w:styleId="355">
    <w:name w:val="网格表 2 - 着色 41"/>
    <w:basedOn w:val="88"/>
    <w:qFormat/>
    <w:uiPriority w:val="47"/>
    <w:tblPr>
      <w:tblBorders>
        <w:top w:val="single" w:color="60CBF3" w:themeColor="accent4" w:themeTint="99" w:sz="2" w:space="0"/>
        <w:bottom w:val="single" w:color="60CBF3" w:themeColor="accent4" w:themeTint="99" w:sz="2" w:space="0"/>
        <w:insideH w:val="single" w:color="60CBF3" w:themeColor="accent4" w:themeTint="99" w:sz="2" w:space="0"/>
        <w:insideV w:val="single" w:color="60CBF3" w:themeColor="accent4" w:themeTint="99" w:sz="2" w:space="0"/>
      </w:tblBorders>
    </w:tblPr>
    <w:tblStylePr w:type="firstRow">
      <w:rPr>
        <w:b/>
        <w:bCs/>
      </w:rPr>
      <w:tcPr>
        <w:tcBorders>
          <w:top w:val="nil"/>
          <w:bottom w:val="single" w:color="60CBF3" w:themeColor="accent4" w:themeTint="99" w:sz="12" w:space="0"/>
          <w:insideH w:val="nil"/>
          <w:insideV w:val="nil"/>
        </w:tcBorders>
        <w:shd w:val="clear" w:color="auto" w:fill="FFFFFF" w:themeFill="background1"/>
      </w:tcPr>
    </w:tblStylePr>
    <w:tblStylePr w:type="lastRow">
      <w:rPr>
        <w:b/>
        <w:bCs/>
      </w:rPr>
      <w:tcPr>
        <w:tcBorders>
          <w:top w:val="double" w:color="60CBF3" w:themeColor="accent4"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CAEDFB" w:themeFill="accent4" w:themeFillTint="33"/>
      </w:tcPr>
    </w:tblStylePr>
    <w:tblStylePr w:type="band1Horz">
      <w:tcPr>
        <w:shd w:val="clear" w:color="auto" w:fill="CAEDFB" w:themeFill="accent4" w:themeFillTint="33"/>
      </w:tcPr>
    </w:tblStylePr>
  </w:style>
  <w:style w:type="table" w:customStyle="1" w:styleId="356">
    <w:name w:val="网格表 2 - 着色 51"/>
    <w:basedOn w:val="88"/>
    <w:qFormat/>
    <w:uiPriority w:val="47"/>
    <w:tblPr>
      <w:tblBorders>
        <w:top w:val="single" w:color="D76DCC" w:themeColor="accent5" w:themeTint="99" w:sz="2" w:space="0"/>
        <w:bottom w:val="single" w:color="D76DCC" w:themeColor="accent5" w:themeTint="99" w:sz="2" w:space="0"/>
        <w:insideH w:val="single" w:color="D76DCC" w:themeColor="accent5" w:themeTint="99" w:sz="2" w:space="0"/>
        <w:insideV w:val="single" w:color="D76DCC" w:themeColor="accent5" w:themeTint="99" w:sz="2" w:space="0"/>
      </w:tblBorders>
    </w:tblPr>
    <w:tblStylePr w:type="firstRow">
      <w:rPr>
        <w:b/>
        <w:bCs/>
      </w:rPr>
      <w:tcPr>
        <w:tcBorders>
          <w:top w:val="nil"/>
          <w:bottom w:val="single" w:color="D76DCC" w:themeColor="accent5" w:themeTint="99" w:sz="12" w:space="0"/>
          <w:insideH w:val="nil"/>
          <w:insideV w:val="nil"/>
        </w:tcBorders>
        <w:shd w:val="clear" w:color="auto" w:fill="FFFFFF" w:themeFill="background1"/>
      </w:tcPr>
    </w:tblStylePr>
    <w:tblStylePr w:type="lastRow">
      <w:rPr>
        <w:b/>
        <w:bCs/>
      </w:rPr>
      <w:tcPr>
        <w:tcBorders>
          <w:top w:val="double" w:color="D76DCC"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F1CEEE" w:themeFill="accent5" w:themeFillTint="33"/>
      </w:tcPr>
    </w:tblStylePr>
    <w:tblStylePr w:type="band1Horz">
      <w:tcPr>
        <w:shd w:val="clear" w:color="auto" w:fill="F1CEEE" w:themeFill="accent5" w:themeFillTint="33"/>
      </w:tcPr>
    </w:tblStylePr>
  </w:style>
  <w:style w:type="table" w:customStyle="1" w:styleId="357">
    <w:name w:val="网格表 2 - 着色 61"/>
    <w:basedOn w:val="88"/>
    <w:qFormat/>
    <w:uiPriority w:val="47"/>
    <w:tblPr>
      <w:tblBorders>
        <w:top w:val="single" w:color="8ED873" w:themeColor="accent6" w:themeTint="99" w:sz="2" w:space="0"/>
        <w:bottom w:val="single" w:color="8ED873" w:themeColor="accent6" w:themeTint="99" w:sz="2" w:space="0"/>
        <w:insideH w:val="single" w:color="8ED873" w:themeColor="accent6" w:themeTint="99" w:sz="2" w:space="0"/>
        <w:insideV w:val="single" w:color="8ED873" w:themeColor="accent6" w:themeTint="99" w:sz="2" w:space="0"/>
      </w:tblBorders>
    </w:tblPr>
    <w:tblStylePr w:type="firstRow">
      <w:rPr>
        <w:b/>
        <w:bCs/>
      </w:rPr>
      <w:tcPr>
        <w:tcBorders>
          <w:top w:val="nil"/>
          <w:bottom w:val="single" w:color="8ED873" w:themeColor="accent6" w:themeTint="99" w:sz="12" w:space="0"/>
          <w:insideH w:val="nil"/>
          <w:insideV w:val="nil"/>
        </w:tcBorders>
        <w:shd w:val="clear" w:color="auto" w:fill="FFFFFF" w:themeFill="background1"/>
      </w:tcPr>
    </w:tblStylePr>
    <w:tblStylePr w:type="lastRow">
      <w:rPr>
        <w:b/>
        <w:bCs/>
      </w:rPr>
      <w:tcPr>
        <w:tcBorders>
          <w:top w:val="double" w:color="8ED873" w:themeColor="accent6"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D9F2D0" w:themeFill="accent6" w:themeFillTint="33"/>
      </w:tcPr>
    </w:tblStylePr>
    <w:tblStylePr w:type="band1Horz">
      <w:tcPr>
        <w:shd w:val="clear" w:color="auto" w:fill="D9F2D0" w:themeFill="accent6" w:themeFillTint="33"/>
      </w:tcPr>
    </w:tblStylePr>
  </w:style>
  <w:style w:type="table" w:customStyle="1" w:styleId="358">
    <w:name w:val="网格表 31"/>
    <w:basedOn w:val="88"/>
    <w:qFormat/>
    <w:uiPriority w:val="48"/>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bottom w:val="single" w:color="666666" w:themeColor="text1" w:themeTint="99" w:sz="4" w:space="0"/>
        </w:tcBorders>
      </w:tcPr>
    </w:tblStylePr>
    <w:tblStylePr w:type="nwCell">
      <w:tcPr>
        <w:tcBorders>
          <w:bottom w:val="single" w:color="666666" w:themeColor="text1" w:themeTint="99" w:sz="4" w:space="0"/>
        </w:tcBorders>
      </w:tcPr>
    </w:tblStylePr>
    <w:tblStylePr w:type="seCell">
      <w:tcPr>
        <w:tcBorders>
          <w:top w:val="single" w:color="666666" w:themeColor="text1" w:themeTint="99" w:sz="4" w:space="0"/>
        </w:tcBorders>
      </w:tcPr>
    </w:tblStylePr>
    <w:tblStylePr w:type="swCell">
      <w:tcPr>
        <w:tcBorders>
          <w:top w:val="single" w:color="666666" w:themeColor="text1" w:themeTint="99" w:sz="4" w:space="0"/>
        </w:tcBorders>
      </w:tcPr>
    </w:tblStylePr>
  </w:style>
  <w:style w:type="table" w:customStyle="1" w:styleId="359">
    <w:name w:val="网格表 3 - 着色 11"/>
    <w:basedOn w:val="88"/>
    <w:qFormat/>
    <w:uiPriority w:val="48"/>
    <w:tblPr>
      <w:tblBorders>
        <w:top w:val="single" w:color="45B0E1" w:themeColor="accent1" w:themeTint="99" w:sz="4" w:space="0"/>
        <w:left w:val="single" w:color="45B0E1" w:themeColor="accent1" w:themeTint="99" w:sz="4" w:space="0"/>
        <w:bottom w:val="single" w:color="45B0E1" w:themeColor="accent1" w:themeTint="99" w:sz="4" w:space="0"/>
        <w:right w:val="single" w:color="45B0E1" w:themeColor="accent1" w:themeTint="99" w:sz="4" w:space="0"/>
        <w:insideH w:val="single" w:color="45B0E1" w:themeColor="accent1" w:themeTint="99" w:sz="4" w:space="0"/>
        <w:insideV w:val="single" w:color="45B0E1" w:themeColor="accent1"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C1E4F5" w:themeFill="accent1" w:themeFillTint="33"/>
      </w:tcPr>
    </w:tblStylePr>
    <w:tblStylePr w:type="band1Horz">
      <w:tcPr>
        <w:shd w:val="clear" w:color="auto" w:fill="C1E4F5" w:themeFill="accent1" w:themeFillTint="33"/>
      </w:tcPr>
    </w:tblStylePr>
    <w:tblStylePr w:type="neCell">
      <w:tcPr>
        <w:tcBorders>
          <w:bottom w:val="single" w:color="45B0E1" w:themeColor="accent1" w:themeTint="99" w:sz="4" w:space="0"/>
        </w:tcBorders>
      </w:tcPr>
    </w:tblStylePr>
    <w:tblStylePr w:type="nwCell">
      <w:tcPr>
        <w:tcBorders>
          <w:bottom w:val="single" w:color="45B0E1" w:themeColor="accent1" w:themeTint="99" w:sz="4" w:space="0"/>
        </w:tcBorders>
      </w:tcPr>
    </w:tblStylePr>
    <w:tblStylePr w:type="seCell">
      <w:tcPr>
        <w:tcBorders>
          <w:top w:val="single" w:color="45B0E1" w:themeColor="accent1" w:themeTint="99" w:sz="4" w:space="0"/>
        </w:tcBorders>
      </w:tcPr>
    </w:tblStylePr>
    <w:tblStylePr w:type="swCell">
      <w:tcPr>
        <w:tcBorders>
          <w:top w:val="single" w:color="45B0E1" w:themeColor="accent1" w:themeTint="99" w:sz="4" w:space="0"/>
        </w:tcBorders>
      </w:tcPr>
    </w:tblStylePr>
  </w:style>
  <w:style w:type="table" w:customStyle="1" w:styleId="360">
    <w:name w:val="网格表 3 - 着色 21"/>
    <w:basedOn w:val="88"/>
    <w:qFormat/>
    <w:uiPriority w:val="48"/>
    <w:tblPr>
      <w:tblBorders>
        <w:top w:val="single" w:color="F1A983" w:themeColor="accent2" w:themeTint="99" w:sz="4" w:space="0"/>
        <w:left w:val="single" w:color="F1A983" w:themeColor="accent2" w:themeTint="99" w:sz="4" w:space="0"/>
        <w:bottom w:val="single" w:color="F1A983" w:themeColor="accent2" w:themeTint="99" w:sz="4" w:space="0"/>
        <w:right w:val="single" w:color="F1A983" w:themeColor="accent2" w:themeTint="99" w:sz="4" w:space="0"/>
        <w:insideH w:val="single" w:color="F1A983" w:themeColor="accent2" w:themeTint="99" w:sz="4" w:space="0"/>
        <w:insideV w:val="single" w:color="F1A983" w:themeColor="accent2"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AE2D5" w:themeFill="accent2" w:themeFillTint="33"/>
      </w:tcPr>
    </w:tblStylePr>
    <w:tblStylePr w:type="band1Horz">
      <w:tcPr>
        <w:shd w:val="clear" w:color="auto" w:fill="FAE2D5" w:themeFill="accent2" w:themeFillTint="33"/>
      </w:tcPr>
    </w:tblStylePr>
    <w:tblStylePr w:type="neCell">
      <w:tcPr>
        <w:tcBorders>
          <w:bottom w:val="single" w:color="F1A983" w:themeColor="accent2" w:themeTint="99" w:sz="4" w:space="0"/>
        </w:tcBorders>
      </w:tcPr>
    </w:tblStylePr>
    <w:tblStylePr w:type="nwCell">
      <w:tcPr>
        <w:tcBorders>
          <w:bottom w:val="single" w:color="F1A983" w:themeColor="accent2" w:themeTint="99" w:sz="4" w:space="0"/>
        </w:tcBorders>
      </w:tcPr>
    </w:tblStylePr>
    <w:tblStylePr w:type="seCell">
      <w:tcPr>
        <w:tcBorders>
          <w:top w:val="single" w:color="F1A983" w:themeColor="accent2" w:themeTint="99" w:sz="4" w:space="0"/>
        </w:tcBorders>
      </w:tcPr>
    </w:tblStylePr>
    <w:tblStylePr w:type="swCell">
      <w:tcPr>
        <w:tcBorders>
          <w:top w:val="single" w:color="F1A983" w:themeColor="accent2" w:themeTint="99" w:sz="4" w:space="0"/>
        </w:tcBorders>
      </w:tcPr>
    </w:tblStylePr>
  </w:style>
  <w:style w:type="table" w:customStyle="1" w:styleId="361">
    <w:name w:val="网格表 3 - 着色 31"/>
    <w:basedOn w:val="88"/>
    <w:qFormat/>
    <w:uiPriority w:val="48"/>
    <w:tblPr>
      <w:tblBorders>
        <w:top w:val="single" w:color="47D45A" w:themeColor="accent3" w:themeTint="99" w:sz="4" w:space="0"/>
        <w:left w:val="single" w:color="47D45A" w:themeColor="accent3" w:themeTint="99" w:sz="4" w:space="0"/>
        <w:bottom w:val="single" w:color="47D45A" w:themeColor="accent3" w:themeTint="99" w:sz="4" w:space="0"/>
        <w:right w:val="single" w:color="47D45A" w:themeColor="accent3" w:themeTint="99" w:sz="4" w:space="0"/>
        <w:insideH w:val="single" w:color="47D45A" w:themeColor="accent3" w:themeTint="99" w:sz="4" w:space="0"/>
        <w:insideV w:val="single" w:color="47D45A" w:themeColor="accent3"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C1F0C8" w:themeFill="accent3" w:themeFillTint="33"/>
      </w:tcPr>
    </w:tblStylePr>
    <w:tblStylePr w:type="band1Horz">
      <w:tcPr>
        <w:shd w:val="clear" w:color="auto" w:fill="C1F0C8" w:themeFill="accent3" w:themeFillTint="33"/>
      </w:tcPr>
    </w:tblStylePr>
    <w:tblStylePr w:type="neCell">
      <w:tcPr>
        <w:tcBorders>
          <w:bottom w:val="single" w:color="47D45A" w:themeColor="accent3" w:themeTint="99" w:sz="4" w:space="0"/>
        </w:tcBorders>
      </w:tcPr>
    </w:tblStylePr>
    <w:tblStylePr w:type="nwCell">
      <w:tcPr>
        <w:tcBorders>
          <w:bottom w:val="single" w:color="47D45A" w:themeColor="accent3" w:themeTint="99" w:sz="4" w:space="0"/>
        </w:tcBorders>
      </w:tcPr>
    </w:tblStylePr>
    <w:tblStylePr w:type="seCell">
      <w:tcPr>
        <w:tcBorders>
          <w:top w:val="single" w:color="47D45A" w:themeColor="accent3" w:themeTint="99" w:sz="4" w:space="0"/>
        </w:tcBorders>
      </w:tcPr>
    </w:tblStylePr>
    <w:tblStylePr w:type="swCell">
      <w:tcPr>
        <w:tcBorders>
          <w:top w:val="single" w:color="47D45A" w:themeColor="accent3" w:themeTint="99" w:sz="4" w:space="0"/>
        </w:tcBorders>
      </w:tcPr>
    </w:tblStylePr>
  </w:style>
  <w:style w:type="table" w:customStyle="1" w:styleId="362">
    <w:name w:val="网格表 3 - 着色 41"/>
    <w:basedOn w:val="88"/>
    <w:qFormat/>
    <w:uiPriority w:val="48"/>
    <w:tblPr>
      <w:tblBorders>
        <w:top w:val="single" w:color="60CBF3" w:themeColor="accent4" w:themeTint="99" w:sz="4" w:space="0"/>
        <w:left w:val="single" w:color="60CBF3" w:themeColor="accent4" w:themeTint="99" w:sz="4" w:space="0"/>
        <w:bottom w:val="single" w:color="60CBF3" w:themeColor="accent4" w:themeTint="99" w:sz="4" w:space="0"/>
        <w:right w:val="single" w:color="60CBF3" w:themeColor="accent4" w:themeTint="99" w:sz="4" w:space="0"/>
        <w:insideH w:val="single" w:color="60CBF3" w:themeColor="accent4" w:themeTint="99" w:sz="4" w:space="0"/>
        <w:insideV w:val="single" w:color="60CBF3" w:themeColor="accent4"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CAEDFB" w:themeFill="accent4" w:themeFillTint="33"/>
      </w:tcPr>
    </w:tblStylePr>
    <w:tblStylePr w:type="band1Horz">
      <w:tcPr>
        <w:shd w:val="clear" w:color="auto" w:fill="CAEDFB" w:themeFill="accent4" w:themeFillTint="33"/>
      </w:tcPr>
    </w:tblStylePr>
    <w:tblStylePr w:type="neCell">
      <w:tcPr>
        <w:tcBorders>
          <w:bottom w:val="single" w:color="60CBF3" w:themeColor="accent4" w:themeTint="99" w:sz="4" w:space="0"/>
        </w:tcBorders>
      </w:tcPr>
    </w:tblStylePr>
    <w:tblStylePr w:type="nwCell">
      <w:tcPr>
        <w:tcBorders>
          <w:bottom w:val="single" w:color="60CBF3" w:themeColor="accent4" w:themeTint="99" w:sz="4" w:space="0"/>
        </w:tcBorders>
      </w:tcPr>
    </w:tblStylePr>
    <w:tblStylePr w:type="seCell">
      <w:tcPr>
        <w:tcBorders>
          <w:top w:val="single" w:color="60CBF3" w:themeColor="accent4" w:themeTint="99" w:sz="4" w:space="0"/>
        </w:tcBorders>
      </w:tcPr>
    </w:tblStylePr>
    <w:tblStylePr w:type="swCell">
      <w:tcPr>
        <w:tcBorders>
          <w:top w:val="single" w:color="60CBF3" w:themeColor="accent4" w:themeTint="99" w:sz="4" w:space="0"/>
        </w:tcBorders>
      </w:tcPr>
    </w:tblStylePr>
  </w:style>
  <w:style w:type="table" w:customStyle="1" w:styleId="363">
    <w:name w:val="网格表 3 - 着色 51"/>
    <w:basedOn w:val="88"/>
    <w:qFormat/>
    <w:uiPriority w:val="48"/>
    <w:tblPr>
      <w:tblBorders>
        <w:top w:val="single" w:color="D76DCC" w:themeColor="accent5" w:themeTint="99" w:sz="4" w:space="0"/>
        <w:left w:val="single" w:color="D76DCC" w:themeColor="accent5" w:themeTint="99" w:sz="4" w:space="0"/>
        <w:bottom w:val="single" w:color="D76DCC" w:themeColor="accent5" w:themeTint="99" w:sz="4" w:space="0"/>
        <w:right w:val="single" w:color="D76DCC" w:themeColor="accent5" w:themeTint="99" w:sz="4" w:space="0"/>
        <w:insideH w:val="single" w:color="D76DCC" w:themeColor="accent5" w:themeTint="99" w:sz="4" w:space="0"/>
        <w:insideV w:val="single" w:color="D76DCC" w:themeColor="accent5"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1CEEE" w:themeFill="accent5" w:themeFillTint="33"/>
      </w:tcPr>
    </w:tblStylePr>
    <w:tblStylePr w:type="band1Horz">
      <w:tcPr>
        <w:shd w:val="clear" w:color="auto" w:fill="F1CEEE" w:themeFill="accent5" w:themeFillTint="33"/>
      </w:tcPr>
    </w:tblStylePr>
    <w:tblStylePr w:type="neCell">
      <w:tcPr>
        <w:tcBorders>
          <w:bottom w:val="single" w:color="D76DCC" w:themeColor="accent5" w:themeTint="99" w:sz="4" w:space="0"/>
        </w:tcBorders>
      </w:tcPr>
    </w:tblStylePr>
    <w:tblStylePr w:type="nwCell">
      <w:tcPr>
        <w:tcBorders>
          <w:bottom w:val="single" w:color="D76DCC" w:themeColor="accent5" w:themeTint="99" w:sz="4" w:space="0"/>
        </w:tcBorders>
      </w:tcPr>
    </w:tblStylePr>
    <w:tblStylePr w:type="seCell">
      <w:tcPr>
        <w:tcBorders>
          <w:top w:val="single" w:color="D76DCC" w:themeColor="accent5" w:themeTint="99" w:sz="4" w:space="0"/>
        </w:tcBorders>
      </w:tcPr>
    </w:tblStylePr>
    <w:tblStylePr w:type="swCell">
      <w:tcPr>
        <w:tcBorders>
          <w:top w:val="single" w:color="D76DCC" w:themeColor="accent5" w:themeTint="99" w:sz="4" w:space="0"/>
        </w:tcBorders>
      </w:tcPr>
    </w:tblStylePr>
  </w:style>
  <w:style w:type="table" w:customStyle="1" w:styleId="364">
    <w:name w:val="网格表 3 - 着色 61"/>
    <w:basedOn w:val="88"/>
    <w:qFormat/>
    <w:uiPriority w:val="48"/>
    <w:tblPr>
      <w:tblBorders>
        <w:top w:val="single" w:color="8ED873" w:themeColor="accent6" w:themeTint="99" w:sz="4" w:space="0"/>
        <w:left w:val="single" w:color="8ED873" w:themeColor="accent6" w:themeTint="99" w:sz="4" w:space="0"/>
        <w:bottom w:val="single" w:color="8ED873" w:themeColor="accent6" w:themeTint="99" w:sz="4" w:space="0"/>
        <w:right w:val="single" w:color="8ED873" w:themeColor="accent6" w:themeTint="99" w:sz="4" w:space="0"/>
        <w:insideH w:val="single" w:color="8ED873" w:themeColor="accent6" w:themeTint="99" w:sz="4" w:space="0"/>
        <w:insideV w:val="single" w:color="8ED873" w:themeColor="accent6"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9F2D0" w:themeFill="accent6" w:themeFillTint="33"/>
      </w:tcPr>
    </w:tblStylePr>
    <w:tblStylePr w:type="band1Horz">
      <w:tcPr>
        <w:shd w:val="clear" w:color="auto" w:fill="D9F2D0" w:themeFill="accent6" w:themeFillTint="33"/>
      </w:tcPr>
    </w:tblStylePr>
    <w:tblStylePr w:type="neCell">
      <w:tcPr>
        <w:tcBorders>
          <w:bottom w:val="single" w:color="8ED873" w:themeColor="accent6" w:themeTint="99" w:sz="4" w:space="0"/>
        </w:tcBorders>
      </w:tcPr>
    </w:tblStylePr>
    <w:tblStylePr w:type="nwCell">
      <w:tcPr>
        <w:tcBorders>
          <w:bottom w:val="single" w:color="8ED873" w:themeColor="accent6" w:themeTint="99" w:sz="4" w:space="0"/>
        </w:tcBorders>
      </w:tcPr>
    </w:tblStylePr>
    <w:tblStylePr w:type="seCell">
      <w:tcPr>
        <w:tcBorders>
          <w:top w:val="single" w:color="8ED873" w:themeColor="accent6" w:themeTint="99" w:sz="4" w:space="0"/>
        </w:tcBorders>
      </w:tcPr>
    </w:tblStylePr>
    <w:tblStylePr w:type="swCell">
      <w:tcPr>
        <w:tcBorders>
          <w:top w:val="single" w:color="8ED873" w:themeColor="accent6" w:themeTint="99" w:sz="4" w:space="0"/>
        </w:tcBorders>
      </w:tcPr>
    </w:tblStylePr>
  </w:style>
  <w:style w:type="table" w:customStyle="1" w:styleId="365">
    <w:name w:val="网格表 41"/>
    <w:basedOn w:val="88"/>
    <w:qFormat/>
    <w:uiPriority w:val="49"/>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14:textFill>
          <w14:solidFill>
            <w14:schemeClr w14:val="bg1"/>
          </w14:solidFill>
        </w14:textFill>
      </w:r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cPr>
        <w:tcBorders>
          <w:top w:val="double" w:color="000000" w:themeColor="text1"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366">
    <w:name w:val="网格表 4 - 着色 11"/>
    <w:basedOn w:val="88"/>
    <w:qFormat/>
    <w:uiPriority w:val="49"/>
    <w:tblPr>
      <w:tblBorders>
        <w:top w:val="single" w:color="45B0E1" w:themeColor="accent1" w:themeTint="99" w:sz="4" w:space="0"/>
        <w:left w:val="single" w:color="45B0E1" w:themeColor="accent1" w:themeTint="99" w:sz="4" w:space="0"/>
        <w:bottom w:val="single" w:color="45B0E1" w:themeColor="accent1" w:themeTint="99" w:sz="4" w:space="0"/>
        <w:right w:val="single" w:color="45B0E1" w:themeColor="accent1" w:themeTint="99" w:sz="4" w:space="0"/>
        <w:insideH w:val="single" w:color="45B0E1" w:themeColor="accent1" w:themeTint="99" w:sz="4" w:space="0"/>
        <w:insideV w:val="single" w:color="45B0E1" w:themeColor="accent1" w:themeTint="99" w:sz="4" w:space="0"/>
      </w:tblBorders>
    </w:tblPr>
    <w:tblStylePr w:type="firstRow">
      <w:rPr>
        <w:b/>
        <w:bCs/>
        <w:color w:val="FFFFFF" w:themeColor="background1"/>
        <w14:textFill>
          <w14:solidFill>
            <w14:schemeClr w14:val="bg1"/>
          </w14:solidFill>
        </w14:textFill>
      </w:rPr>
      <w:tcPr>
        <w:tcBorders>
          <w:top w:val="single" w:color="156082" w:themeColor="accent1" w:sz="4" w:space="0"/>
          <w:left w:val="single" w:color="156082" w:themeColor="accent1" w:sz="4" w:space="0"/>
          <w:bottom w:val="single" w:color="156082" w:themeColor="accent1" w:sz="4" w:space="0"/>
          <w:right w:val="single" w:color="156082" w:themeColor="accent1" w:sz="4" w:space="0"/>
          <w:insideH w:val="nil"/>
          <w:insideV w:val="nil"/>
        </w:tcBorders>
        <w:shd w:val="clear" w:color="auto" w:fill="156082" w:themeFill="accent1"/>
      </w:tcPr>
    </w:tblStylePr>
    <w:tblStylePr w:type="lastRow">
      <w:rPr>
        <w:b/>
        <w:bCs/>
      </w:rPr>
      <w:tcPr>
        <w:tcBorders>
          <w:top w:val="double" w:color="156082" w:themeColor="accent1" w:sz="4" w:space="0"/>
        </w:tcBorders>
      </w:tcPr>
    </w:tblStylePr>
    <w:tblStylePr w:type="firstCol">
      <w:rPr>
        <w:b/>
        <w:bCs/>
      </w:rPr>
    </w:tblStylePr>
    <w:tblStylePr w:type="lastCol">
      <w:rPr>
        <w:b/>
        <w:bCs/>
      </w:rPr>
    </w:tblStylePr>
    <w:tblStylePr w:type="band1Vert">
      <w:tcPr>
        <w:shd w:val="clear" w:color="auto" w:fill="C1E4F5" w:themeFill="accent1" w:themeFillTint="33"/>
      </w:tcPr>
    </w:tblStylePr>
    <w:tblStylePr w:type="band1Horz">
      <w:tcPr>
        <w:shd w:val="clear" w:color="auto" w:fill="C1E4F5" w:themeFill="accent1" w:themeFillTint="33"/>
      </w:tcPr>
    </w:tblStylePr>
  </w:style>
  <w:style w:type="table" w:customStyle="1" w:styleId="367">
    <w:name w:val="网格表 4 - 着色 21"/>
    <w:basedOn w:val="88"/>
    <w:qFormat/>
    <w:uiPriority w:val="49"/>
    <w:tblPr>
      <w:tblBorders>
        <w:top w:val="single" w:color="F1A983" w:themeColor="accent2" w:themeTint="99" w:sz="4" w:space="0"/>
        <w:left w:val="single" w:color="F1A983" w:themeColor="accent2" w:themeTint="99" w:sz="4" w:space="0"/>
        <w:bottom w:val="single" w:color="F1A983" w:themeColor="accent2" w:themeTint="99" w:sz="4" w:space="0"/>
        <w:right w:val="single" w:color="F1A983" w:themeColor="accent2" w:themeTint="99" w:sz="4" w:space="0"/>
        <w:insideH w:val="single" w:color="F1A983" w:themeColor="accent2" w:themeTint="99" w:sz="4" w:space="0"/>
        <w:insideV w:val="single" w:color="F1A983" w:themeColor="accent2" w:themeTint="99" w:sz="4" w:space="0"/>
      </w:tblBorders>
    </w:tblPr>
    <w:tblStylePr w:type="firstRow">
      <w:rPr>
        <w:b/>
        <w:bCs/>
        <w:color w:val="FFFFFF" w:themeColor="background1"/>
        <w14:textFill>
          <w14:solidFill>
            <w14:schemeClr w14:val="bg1"/>
          </w14:solidFill>
        </w14:textFill>
      </w:rPr>
      <w:tcPr>
        <w:tcBorders>
          <w:top w:val="single" w:color="E97132" w:themeColor="accent2" w:sz="4" w:space="0"/>
          <w:left w:val="single" w:color="E97132" w:themeColor="accent2" w:sz="4" w:space="0"/>
          <w:bottom w:val="single" w:color="E97132" w:themeColor="accent2" w:sz="4" w:space="0"/>
          <w:right w:val="single" w:color="E97132" w:themeColor="accent2" w:sz="4" w:space="0"/>
          <w:insideH w:val="nil"/>
          <w:insideV w:val="nil"/>
        </w:tcBorders>
        <w:shd w:val="clear" w:color="auto" w:fill="E97132" w:themeFill="accent2"/>
      </w:tcPr>
    </w:tblStylePr>
    <w:tblStylePr w:type="lastRow">
      <w:rPr>
        <w:b/>
        <w:bCs/>
      </w:rPr>
      <w:tcPr>
        <w:tcBorders>
          <w:top w:val="double" w:color="E97132" w:themeColor="accent2" w:sz="4" w:space="0"/>
        </w:tcBorders>
      </w:tcPr>
    </w:tblStylePr>
    <w:tblStylePr w:type="firstCol">
      <w:rPr>
        <w:b/>
        <w:bCs/>
      </w:rPr>
    </w:tblStylePr>
    <w:tblStylePr w:type="lastCol">
      <w:rPr>
        <w:b/>
        <w:bCs/>
      </w:rPr>
    </w:tblStylePr>
    <w:tblStylePr w:type="band1Vert">
      <w:tcPr>
        <w:shd w:val="clear" w:color="auto" w:fill="FAE2D5" w:themeFill="accent2" w:themeFillTint="33"/>
      </w:tcPr>
    </w:tblStylePr>
    <w:tblStylePr w:type="band1Horz">
      <w:tcPr>
        <w:shd w:val="clear" w:color="auto" w:fill="FAE2D5" w:themeFill="accent2" w:themeFillTint="33"/>
      </w:tcPr>
    </w:tblStylePr>
  </w:style>
  <w:style w:type="table" w:customStyle="1" w:styleId="368">
    <w:name w:val="网格表 4 - 着色 31"/>
    <w:basedOn w:val="88"/>
    <w:qFormat/>
    <w:uiPriority w:val="49"/>
    <w:tblPr>
      <w:tblBorders>
        <w:top w:val="single" w:color="47D45A" w:themeColor="accent3" w:themeTint="99" w:sz="4" w:space="0"/>
        <w:left w:val="single" w:color="47D45A" w:themeColor="accent3" w:themeTint="99" w:sz="4" w:space="0"/>
        <w:bottom w:val="single" w:color="47D45A" w:themeColor="accent3" w:themeTint="99" w:sz="4" w:space="0"/>
        <w:right w:val="single" w:color="47D45A" w:themeColor="accent3" w:themeTint="99" w:sz="4" w:space="0"/>
        <w:insideH w:val="single" w:color="47D45A" w:themeColor="accent3" w:themeTint="99" w:sz="4" w:space="0"/>
        <w:insideV w:val="single" w:color="47D45A" w:themeColor="accent3" w:themeTint="99" w:sz="4" w:space="0"/>
      </w:tblBorders>
    </w:tblPr>
    <w:tblStylePr w:type="firstRow">
      <w:rPr>
        <w:b/>
        <w:bCs/>
        <w:color w:val="FFFFFF" w:themeColor="background1"/>
        <w14:textFill>
          <w14:solidFill>
            <w14:schemeClr w14:val="bg1"/>
          </w14:solidFill>
        </w14:textFill>
      </w:rPr>
      <w:tcPr>
        <w:tcBorders>
          <w:top w:val="single" w:color="196B24" w:themeColor="accent3" w:sz="4" w:space="0"/>
          <w:left w:val="single" w:color="196B24" w:themeColor="accent3" w:sz="4" w:space="0"/>
          <w:bottom w:val="single" w:color="196B24" w:themeColor="accent3" w:sz="4" w:space="0"/>
          <w:right w:val="single" w:color="196B24" w:themeColor="accent3" w:sz="4" w:space="0"/>
          <w:insideH w:val="nil"/>
          <w:insideV w:val="nil"/>
        </w:tcBorders>
        <w:shd w:val="clear" w:color="auto" w:fill="196B24" w:themeFill="accent3"/>
      </w:tcPr>
    </w:tblStylePr>
    <w:tblStylePr w:type="lastRow">
      <w:rPr>
        <w:b/>
        <w:bCs/>
      </w:rPr>
      <w:tcPr>
        <w:tcBorders>
          <w:top w:val="double" w:color="196B24" w:themeColor="accent3" w:sz="4" w:space="0"/>
        </w:tcBorders>
      </w:tcPr>
    </w:tblStylePr>
    <w:tblStylePr w:type="firstCol">
      <w:rPr>
        <w:b/>
        <w:bCs/>
      </w:rPr>
    </w:tblStylePr>
    <w:tblStylePr w:type="lastCol">
      <w:rPr>
        <w:b/>
        <w:bCs/>
      </w:rPr>
    </w:tblStylePr>
    <w:tblStylePr w:type="band1Vert">
      <w:tcPr>
        <w:shd w:val="clear" w:color="auto" w:fill="C1F0C8" w:themeFill="accent3" w:themeFillTint="33"/>
      </w:tcPr>
    </w:tblStylePr>
    <w:tblStylePr w:type="band1Horz">
      <w:tcPr>
        <w:shd w:val="clear" w:color="auto" w:fill="C1F0C8" w:themeFill="accent3" w:themeFillTint="33"/>
      </w:tcPr>
    </w:tblStylePr>
  </w:style>
  <w:style w:type="table" w:customStyle="1" w:styleId="369">
    <w:name w:val="网格表 4 - 着色 41"/>
    <w:basedOn w:val="88"/>
    <w:qFormat/>
    <w:uiPriority w:val="49"/>
    <w:tblPr>
      <w:tblBorders>
        <w:top w:val="single" w:color="60CBF3" w:themeColor="accent4" w:themeTint="99" w:sz="4" w:space="0"/>
        <w:left w:val="single" w:color="60CBF3" w:themeColor="accent4" w:themeTint="99" w:sz="4" w:space="0"/>
        <w:bottom w:val="single" w:color="60CBF3" w:themeColor="accent4" w:themeTint="99" w:sz="4" w:space="0"/>
        <w:right w:val="single" w:color="60CBF3" w:themeColor="accent4" w:themeTint="99" w:sz="4" w:space="0"/>
        <w:insideH w:val="single" w:color="60CBF3" w:themeColor="accent4" w:themeTint="99" w:sz="4" w:space="0"/>
        <w:insideV w:val="single" w:color="60CBF3" w:themeColor="accent4" w:themeTint="99" w:sz="4" w:space="0"/>
      </w:tblBorders>
    </w:tblPr>
    <w:tblStylePr w:type="firstRow">
      <w:rPr>
        <w:b/>
        <w:bCs/>
        <w:color w:val="FFFFFF" w:themeColor="background1"/>
        <w14:textFill>
          <w14:solidFill>
            <w14:schemeClr w14:val="bg1"/>
          </w14:solidFill>
        </w14:textFill>
      </w:rPr>
      <w:tcPr>
        <w:tcBorders>
          <w:top w:val="single" w:color="0F9ED5" w:themeColor="accent4" w:sz="4" w:space="0"/>
          <w:left w:val="single" w:color="0F9ED5" w:themeColor="accent4" w:sz="4" w:space="0"/>
          <w:bottom w:val="single" w:color="0F9ED5" w:themeColor="accent4" w:sz="4" w:space="0"/>
          <w:right w:val="single" w:color="0F9ED5" w:themeColor="accent4" w:sz="4" w:space="0"/>
          <w:insideH w:val="nil"/>
          <w:insideV w:val="nil"/>
        </w:tcBorders>
        <w:shd w:val="clear" w:color="auto" w:fill="0F9ED5" w:themeFill="accent4"/>
      </w:tcPr>
    </w:tblStylePr>
    <w:tblStylePr w:type="lastRow">
      <w:rPr>
        <w:b/>
        <w:bCs/>
      </w:rPr>
      <w:tcPr>
        <w:tcBorders>
          <w:top w:val="double" w:color="0F9ED5" w:themeColor="accent4" w:sz="4" w:space="0"/>
        </w:tcBorders>
      </w:tcPr>
    </w:tblStylePr>
    <w:tblStylePr w:type="firstCol">
      <w:rPr>
        <w:b/>
        <w:bCs/>
      </w:rPr>
    </w:tblStylePr>
    <w:tblStylePr w:type="lastCol">
      <w:rPr>
        <w:b/>
        <w:bCs/>
      </w:rPr>
    </w:tblStylePr>
    <w:tblStylePr w:type="band1Vert">
      <w:tcPr>
        <w:shd w:val="clear" w:color="auto" w:fill="CAEDFB" w:themeFill="accent4" w:themeFillTint="33"/>
      </w:tcPr>
    </w:tblStylePr>
    <w:tblStylePr w:type="band1Horz">
      <w:tcPr>
        <w:shd w:val="clear" w:color="auto" w:fill="CAEDFB" w:themeFill="accent4" w:themeFillTint="33"/>
      </w:tcPr>
    </w:tblStylePr>
  </w:style>
  <w:style w:type="table" w:customStyle="1" w:styleId="370">
    <w:name w:val="网格表 4 - 着色 51"/>
    <w:basedOn w:val="88"/>
    <w:qFormat/>
    <w:uiPriority w:val="49"/>
    <w:tblPr>
      <w:tblBorders>
        <w:top w:val="single" w:color="D76DCC" w:themeColor="accent5" w:themeTint="99" w:sz="4" w:space="0"/>
        <w:left w:val="single" w:color="D76DCC" w:themeColor="accent5" w:themeTint="99" w:sz="4" w:space="0"/>
        <w:bottom w:val="single" w:color="D76DCC" w:themeColor="accent5" w:themeTint="99" w:sz="4" w:space="0"/>
        <w:right w:val="single" w:color="D76DCC" w:themeColor="accent5" w:themeTint="99" w:sz="4" w:space="0"/>
        <w:insideH w:val="single" w:color="D76DCC" w:themeColor="accent5" w:themeTint="99" w:sz="4" w:space="0"/>
        <w:insideV w:val="single" w:color="D76DCC" w:themeColor="accent5" w:themeTint="99" w:sz="4" w:space="0"/>
      </w:tblBorders>
    </w:tblPr>
    <w:tblStylePr w:type="firstRow">
      <w:rPr>
        <w:b/>
        <w:bCs/>
        <w:color w:val="FFFFFF" w:themeColor="background1"/>
        <w14:textFill>
          <w14:solidFill>
            <w14:schemeClr w14:val="bg1"/>
          </w14:solidFill>
        </w14:textFill>
      </w:rPr>
      <w:tcPr>
        <w:tcBorders>
          <w:top w:val="single" w:color="A02B93" w:themeColor="accent5" w:sz="4" w:space="0"/>
          <w:left w:val="single" w:color="A02B93" w:themeColor="accent5" w:sz="4" w:space="0"/>
          <w:bottom w:val="single" w:color="A02B93" w:themeColor="accent5" w:sz="4" w:space="0"/>
          <w:right w:val="single" w:color="A02B93" w:themeColor="accent5" w:sz="4" w:space="0"/>
          <w:insideH w:val="nil"/>
          <w:insideV w:val="nil"/>
        </w:tcBorders>
        <w:shd w:val="clear" w:color="auto" w:fill="A02B93" w:themeFill="accent5"/>
      </w:tcPr>
    </w:tblStylePr>
    <w:tblStylePr w:type="lastRow">
      <w:rPr>
        <w:b/>
        <w:bCs/>
      </w:rPr>
      <w:tcPr>
        <w:tcBorders>
          <w:top w:val="double" w:color="A02B93" w:themeColor="accent5" w:sz="4" w:space="0"/>
        </w:tcBorders>
      </w:tcPr>
    </w:tblStylePr>
    <w:tblStylePr w:type="firstCol">
      <w:rPr>
        <w:b/>
        <w:bCs/>
      </w:rPr>
    </w:tblStylePr>
    <w:tblStylePr w:type="lastCol">
      <w:rPr>
        <w:b/>
        <w:bCs/>
      </w:rPr>
    </w:tblStylePr>
    <w:tblStylePr w:type="band1Vert">
      <w:tcPr>
        <w:shd w:val="clear" w:color="auto" w:fill="F1CEEE" w:themeFill="accent5" w:themeFillTint="33"/>
      </w:tcPr>
    </w:tblStylePr>
    <w:tblStylePr w:type="band1Horz">
      <w:tcPr>
        <w:shd w:val="clear" w:color="auto" w:fill="F1CEEE" w:themeFill="accent5" w:themeFillTint="33"/>
      </w:tcPr>
    </w:tblStylePr>
  </w:style>
  <w:style w:type="table" w:customStyle="1" w:styleId="371">
    <w:name w:val="网格表 4 - 着色 61"/>
    <w:basedOn w:val="88"/>
    <w:qFormat/>
    <w:uiPriority w:val="49"/>
    <w:tblPr>
      <w:tblBorders>
        <w:top w:val="single" w:color="8ED873" w:themeColor="accent6" w:themeTint="99" w:sz="4" w:space="0"/>
        <w:left w:val="single" w:color="8ED873" w:themeColor="accent6" w:themeTint="99" w:sz="4" w:space="0"/>
        <w:bottom w:val="single" w:color="8ED873" w:themeColor="accent6" w:themeTint="99" w:sz="4" w:space="0"/>
        <w:right w:val="single" w:color="8ED873" w:themeColor="accent6" w:themeTint="99" w:sz="4" w:space="0"/>
        <w:insideH w:val="single" w:color="8ED873" w:themeColor="accent6" w:themeTint="99" w:sz="4" w:space="0"/>
        <w:insideV w:val="single" w:color="8ED873" w:themeColor="accent6" w:themeTint="99" w:sz="4" w:space="0"/>
      </w:tblBorders>
    </w:tblPr>
    <w:tblStylePr w:type="firstRow">
      <w:rPr>
        <w:b/>
        <w:bCs/>
        <w:color w:val="FFFFFF" w:themeColor="background1"/>
        <w14:textFill>
          <w14:solidFill>
            <w14:schemeClr w14:val="bg1"/>
          </w14:solidFill>
        </w14:textFill>
      </w:rPr>
      <w:tcPr>
        <w:tcBorders>
          <w:top w:val="single" w:color="4EA72E" w:themeColor="accent6" w:sz="4" w:space="0"/>
          <w:left w:val="single" w:color="4EA72E" w:themeColor="accent6" w:sz="4" w:space="0"/>
          <w:bottom w:val="single" w:color="4EA72E" w:themeColor="accent6" w:sz="4" w:space="0"/>
          <w:right w:val="single" w:color="4EA72E" w:themeColor="accent6" w:sz="4" w:space="0"/>
          <w:insideH w:val="nil"/>
          <w:insideV w:val="nil"/>
        </w:tcBorders>
        <w:shd w:val="clear" w:color="auto" w:fill="4EA72E" w:themeFill="accent6"/>
      </w:tcPr>
    </w:tblStylePr>
    <w:tblStylePr w:type="lastRow">
      <w:rPr>
        <w:b/>
        <w:bCs/>
      </w:rPr>
      <w:tcPr>
        <w:tcBorders>
          <w:top w:val="double" w:color="4EA72E" w:themeColor="accent6" w:sz="4" w:space="0"/>
        </w:tcBorders>
      </w:tcPr>
    </w:tblStylePr>
    <w:tblStylePr w:type="firstCol">
      <w:rPr>
        <w:b/>
        <w:bCs/>
      </w:rPr>
    </w:tblStylePr>
    <w:tblStylePr w:type="lastCol">
      <w:rPr>
        <w:b/>
        <w:bCs/>
      </w:rPr>
    </w:tblStylePr>
    <w:tblStylePr w:type="band1Vert">
      <w:tcPr>
        <w:shd w:val="clear" w:color="auto" w:fill="D9F2D0" w:themeFill="accent6" w:themeFillTint="33"/>
      </w:tcPr>
    </w:tblStylePr>
    <w:tblStylePr w:type="band1Horz">
      <w:tcPr>
        <w:shd w:val="clear" w:color="auto" w:fill="D9F2D0" w:themeFill="accent6" w:themeFillTint="33"/>
      </w:tcPr>
    </w:tblStylePr>
  </w:style>
  <w:style w:type="table" w:customStyle="1" w:styleId="372">
    <w:name w:val="网格表 5 深色1"/>
    <w:basedOn w:val="88"/>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CCCCC" w:themeFill="text1"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0000" w:themeFill="text1"/>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0000" w:themeFill="text1"/>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0000" w:themeFill="text1"/>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0000" w:themeFill="text1"/>
      </w:tcPr>
    </w:tblStylePr>
    <w:tblStylePr w:type="band1Vert">
      <w:tcPr>
        <w:shd w:val="clear" w:color="auto" w:fill="999999" w:themeFill="text1" w:themeFillTint="66"/>
      </w:tcPr>
    </w:tblStylePr>
    <w:tblStylePr w:type="band1Horz">
      <w:tcPr>
        <w:shd w:val="clear" w:color="auto" w:fill="999999" w:themeFill="text1" w:themeFillTint="66"/>
      </w:tcPr>
    </w:tblStylePr>
  </w:style>
  <w:style w:type="table" w:customStyle="1" w:styleId="373">
    <w:name w:val="网格表 5 深色 - 着色 11"/>
    <w:basedOn w:val="88"/>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1E4F5" w:themeFill="accent1"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156082" w:themeFill="accent1"/>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156082" w:themeFill="accent1"/>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156082" w:themeFill="accent1"/>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156082" w:themeFill="accent1"/>
      </w:tcPr>
    </w:tblStylePr>
    <w:tblStylePr w:type="band1Vert">
      <w:tcPr>
        <w:shd w:val="clear" w:color="auto" w:fill="83CAEB" w:themeFill="accent1" w:themeFillTint="66"/>
      </w:tcPr>
    </w:tblStylePr>
    <w:tblStylePr w:type="band1Horz">
      <w:tcPr>
        <w:shd w:val="clear" w:color="auto" w:fill="83CAEB" w:themeFill="accent1" w:themeFillTint="66"/>
      </w:tcPr>
    </w:tblStylePr>
  </w:style>
  <w:style w:type="table" w:customStyle="1" w:styleId="374">
    <w:name w:val="网格表 5 深色 - 着色 21"/>
    <w:basedOn w:val="88"/>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AE2D5" w:themeFill="accent2"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97132" w:themeFill="accent2"/>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97132" w:themeFill="accent2"/>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97132" w:themeFill="accent2"/>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97132" w:themeFill="accent2"/>
      </w:tcPr>
    </w:tblStylePr>
    <w:tblStylePr w:type="band1Vert">
      <w:tcPr>
        <w:shd w:val="clear" w:color="auto" w:fill="F6C6AC" w:themeFill="accent2" w:themeFillTint="66"/>
      </w:tcPr>
    </w:tblStylePr>
    <w:tblStylePr w:type="band1Horz">
      <w:tcPr>
        <w:shd w:val="clear" w:color="auto" w:fill="F6C6AC" w:themeFill="accent2" w:themeFillTint="66"/>
      </w:tcPr>
    </w:tblStylePr>
  </w:style>
  <w:style w:type="table" w:customStyle="1" w:styleId="375">
    <w:name w:val="网格表 5 深色 - 着色 31"/>
    <w:basedOn w:val="88"/>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1F0C8" w:themeFill="accent3"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196B24" w:themeFill="accent3"/>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196B24" w:themeFill="accent3"/>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196B24" w:themeFill="accent3"/>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196B24" w:themeFill="accent3"/>
      </w:tcPr>
    </w:tblStylePr>
    <w:tblStylePr w:type="band1Vert">
      <w:tcPr>
        <w:shd w:val="clear" w:color="auto" w:fill="84E291" w:themeFill="accent3" w:themeFillTint="66"/>
      </w:tcPr>
    </w:tblStylePr>
    <w:tblStylePr w:type="band1Horz">
      <w:tcPr>
        <w:shd w:val="clear" w:color="auto" w:fill="84E291" w:themeFill="accent3" w:themeFillTint="66"/>
      </w:tcPr>
    </w:tblStylePr>
  </w:style>
  <w:style w:type="table" w:customStyle="1" w:styleId="376">
    <w:name w:val="网格表 5 深色 - 着色 41"/>
    <w:basedOn w:val="88"/>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AEDFB" w:themeFill="accent4"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F9ED5" w:themeFill="accent4"/>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F9ED5" w:themeFill="accent4"/>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0F9ED5" w:themeFill="accent4"/>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F9ED5" w:themeFill="accent4"/>
      </w:tcPr>
    </w:tblStylePr>
    <w:tblStylePr w:type="band1Vert">
      <w:tcPr>
        <w:shd w:val="clear" w:color="auto" w:fill="95DCF7" w:themeFill="accent4" w:themeFillTint="66"/>
      </w:tcPr>
    </w:tblStylePr>
    <w:tblStylePr w:type="band1Horz">
      <w:tcPr>
        <w:shd w:val="clear" w:color="auto" w:fill="95DCF7" w:themeFill="accent4" w:themeFillTint="66"/>
      </w:tcPr>
    </w:tblStylePr>
  </w:style>
  <w:style w:type="table" w:customStyle="1" w:styleId="377">
    <w:name w:val="网格表 5 深色 - 着色 51"/>
    <w:basedOn w:val="88"/>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1CEEE" w:themeFill="accent5"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02B93" w:themeFill="accent5"/>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02B93" w:themeFill="accent5"/>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A02B93" w:themeFill="accent5"/>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02B93" w:themeFill="accent5"/>
      </w:tcPr>
    </w:tblStylePr>
    <w:tblStylePr w:type="band1Vert">
      <w:tcPr>
        <w:shd w:val="clear" w:color="auto" w:fill="E49EDD" w:themeFill="accent5" w:themeFillTint="66"/>
      </w:tcPr>
    </w:tblStylePr>
    <w:tblStylePr w:type="band1Horz">
      <w:tcPr>
        <w:shd w:val="clear" w:color="auto" w:fill="E49EDD" w:themeFill="accent5" w:themeFillTint="66"/>
      </w:tcPr>
    </w:tblStylePr>
  </w:style>
  <w:style w:type="table" w:customStyle="1" w:styleId="378">
    <w:name w:val="网格表 5 深色 - 着色 61"/>
    <w:basedOn w:val="88"/>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9F2D0" w:themeFill="accent6"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EA72E" w:themeFill="accent6"/>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EA72E" w:themeFill="accent6"/>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4EA72E" w:themeFill="accent6"/>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EA72E" w:themeFill="accent6"/>
      </w:tcPr>
    </w:tblStylePr>
    <w:tblStylePr w:type="band1Vert">
      <w:tcPr>
        <w:shd w:val="clear" w:color="auto" w:fill="B3E5A1" w:themeFill="accent6" w:themeFillTint="66"/>
      </w:tcPr>
    </w:tblStylePr>
    <w:tblStylePr w:type="band1Horz">
      <w:tcPr>
        <w:shd w:val="clear" w:color="auto" w:fill="B3E5A1" w:themeFill="accent6" w:themeFillTint="66"/>
      </w:tcPr>
    </w:tblStylePr>
  </w:style>
  <w:style w:type="table" w:customStyle="1" w:styleId="379">
    <w:name w:val="网格表 6 彩色1"/>
    <w:basedOn w:val="88"/>
    <w:qFormat/>
    <w:uiPriority w:val="51"/>
    <w:rPr>
      <w:color w:val="000000" w:themeColor="text1"/>
      <w14:textFill>
        <w14:solidFill>
          <w14:schemeClr w14:val="tx1"/>
        </w14:solidFill>
      </w14:textFill>
    </w:rPr>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380">
    <w:name w:val="网格表 6 彩色 - 着色 11"/>
    <w:basedOn w:val="88"/>
    <w:qFormat/>
    <w:uiPriority w:val="51"/>
    <w:rPr>
      <w:color w:val="104862" w:themeColor="accent1" w:themeShade="BF"/>
    </w:rPr>
    <w:tblPr>
      <w:tblBorders>
        <w:top w:val="single" w:color="45B0E1" w:themeColor="accent1" w:themeTint="99" w:sz="4" w:space="0"/>
        <w:left w:val="single" w:color="45B0E1" w:themeColor="accent1" w:themeTint="99" w:sz="4" w:space="0"/>
        <w:bottom w:val="single" w:color="45B0E1" w:themeColor="accent1" w:themeTint="99" w:sz="4" w:space="0"/>
        <w:right w:val="single" w:color="45B0E1" w:themeColor="accent1" w:themeTint="99" w:sz="4" w:space="0"/>
        <w:insideH w:val="single" w:color="45B0E1" w:themeColor="accent1" w:themeTint="99" w:sz="4" w:space="0"/>
        <w:insideV w:val="single" w:color="45B0E1" w:themeColor="accent1" w:themeTint="99" w:sz="4" w:space="0"/>
      </w:tblBorders>
    </w:tblPr>
    <w:tblStylePr w:type="firstRow">
      <w:rPr>
        <w:b/>
        <w:bCs/>
      </w:rPr>
      <w:tcPr>
        <w:tcBorders>
          <w:bottom w:val="single" w:color="45B0E1" w:themeColor="accent1" w:themeTint="99" w:sz="12" w:space="0"/>
        </w:tcBorders>
      </w:tcPr>
    </w:tblStylePr>
    <w:tblStylePr w:type="lastRow">
      <w:rPr>
        <w:b/>
        <w:bCs/>
      </w:rPr>
      <w:tcPr>
        <w:tcBorders>
          <w:top w:val="double" w:color="45B0E1" w:themeColor="accent1" w:themeTint="99" w:sz="4" w:space="0"/>
        </w:tcBorders>
      </w:tcPr>
    </w:tblStylePr>
    <w:tblStylePr w:type="firstCol">
      <w:rPr>
        <w:b/>
        <w:bCs/>
      </w:rPr>
    </w:tblStylePr>
    <w:tblStylePr w:type="lastCol">
      <w:rPr>
        <w:b/>
        <w:bCs/>
      </w:rPr>
    </w:tblStylePr>
    <w:tblStylePr w:type="band1Vert">
      <w:tcPr>
        <w:shd w:val="clear" w:color="auto" w:fill="C1E4F5" w:themeFill="accent1" w:themeFillTint="33"/>
      </w:tcPr>
    </w:tblStylePr>
    <w:tblStylePr w:type="band1Horz">
      <w:tcPr>
        <w:shd w:val="clear" w:color="auto" w:fill="C1E4F5" w:themeFill="accent1" w:themeFillTint="33"/>
      </w:tcPr>
    </w:tblStylePr>
  </w:style>
  <w:style w:type="table" w:customStyle="1" w:styleId="381">
    <w:name w:val="网格表 6 彩色 - 着色 21"/>
    <w:basedOn w:val="88"/>
    <w:qFormat/>
    <w:uiPriority w:val="51"/>
    <w:rPr>
      <w:color w:val="C04F15" w:themeColor="accent2" w:themeShade="BF"/>
    </w:rPr>
    <w:tblPr>
      <w:tblBorders>
        <w:top w:val="single" w:color="F1A983" w:themeColor="accent2" w:themeTint="99" w:sz="4" w:space="0"/>
        <w:left w:val="single" w:color="F1A983" w:themeColor="accent2" w:themeTint="99" w:sz="4" w:space="0"/>
        <w:bottom w:val="single" w:color="F1A983" w:themeColor="accent2" w:themeTint="99" w:sz="4" w:space="0"/>
        <w:right w:val="single" w:color="F1A983" w:themeColor="accent2" w:themeTint="99" w:sz="4" w:space="0"/>
        <w:insideH w:val="single" w:color="F1A983" w:themeColor="accent2" w:themeTint="99" w:sz="4" w:space="0"/>
        <w:insideV w:val="single" w:color="F1A983" w:themeColor="accent2" w:themeTint="99" w:sz="4" w:space="0"/>
      </w:tblBorders>
    </w:tblPr>
    <w:tblStylePr w:type="firstRow">
      <w:rPr>
        <w:b/>
        <w:bCs/>
      </w:rPr>
      <w:tcPr>
        <w:tcBorders>
          <w:bottom w:val="single" w:color="F1A983" w:themeColor="accent2" w:themeTint="99" w:sz="12" w:space="0"/>
        </w:tcBorders>
      </w:tcPr>
    </w:tblStylePr>
    <w:tblStylePr w:type="lastRow">
      <w:rPr>
        <w:b/>
        <w:bCs/>
      </w:rPr>
      <w:tcPr>
        <w:tcBorders>
          <w:top w:val="double" w:color="F1A983" w:themeColor="accent2" w:themeTint="99" w:sz="4" w:space="0"/>
        </w:tcBorders>
      </w:tcPr>
    </w:tblStylePr>
    <w:tblStylePr w:type="firstCol">
      <w:rPr>
        <w:b/>
        <w:bCs/>
      </w:rPr>
    </w:tblStylePr>
    <w:tblStylePr w:type="lastCol">
      <w:rPr>
        <w:b/>
        <w:bCs/>
      </w:rPr>
    </w:tblStylePr>
    <w:tblStylePr w:type="band1Vert">
      <w:tcPr>
        <w:shd w:val="clear" w:color="auto" w:fill="FAE2D5" w:themeFill="accent2" w:themeFillTint="33"/>
      </w:tcPr>
    </w:tblStylePr>
    <w:tblStylePr w:type="band1Horz">
      <w:tcPr>
        <w:shd w:val="clear" w:color="auto" w:fill="FAE2D5" w:themeFill="accent2" w:themeFillTint="33"/>
      </w:tcPr>
    </w:tblStylePr>
  </w:style>
  <w:style w:type="table" w:customStyle="1" w:styleId="382">
    <w:name w:val="网格表 6 彩色 - 着色 31"/>
    <w:basedOn w:val="88"/>
    <w:qFormat/>
    <w:uiPriority w:val="51"/>
    <w:rPr>
      <w:color w:val="13501B" w:themeColor="accent3" w:themeShade="BF"/>
    </w:rPr>
    <w:tblPr>
      <w:tblBorders>
        <w:top w:val="single" w:color="47D45A" w:themeColor="accent3" w:themeTint="99" w:sz="4" w:space="0"/>
        <w:left w:val="single" w:color="47D45A" w:themeColor="accent3" w:themeTint="99" w:sz="4" w:space="0"/>
        <w:bottom w:val="single" w:color="47D45A" w:themeColor="accent3" w:themeTint="99" w:sz="4" w:space="0"/>
        <w:right w:val="single" w:color="47D45A" w:themeColor="accent3" w:themeTint="99" w:sz="4" w:space="0"/>
        <w:insideH w:val="single" w:color="47D45A" w:themeColor="accent3" w:themeTint="99" w:sz="4" w:space="0"/>
        <w:insideV w:val="single" w:color="47D45A" w:themeColor="accent3" w:themeTint="99" w:sz="4" w:space="0"/>
      </w:tblBorders>
    </w:tblPr>
    <w:tblStylePr w:type="firstRow">
      <w:rPr>
        <w:b/>
        <w:bCs/>
      </w:rPr>
      <w:tcPr>
        <w:tcBorders>
          <w:bottom w:val="single" w:color="47D45A" w:themeColor="accent3" w:themeTint="99" w:sz="12" w:space="0"/>
        </w:tcBorders>
      </w:tcPr>
    </w:tblStylePr>
    <w:tblStylePr w:type="lastRow">
      <w:rPr>
        <w:b/>
        <w:bCs/>
      </w:rPr>
      <w:tcPr>
        <w:tcBorders>
          <w:top w:val="double" w:color="47D45A" w:themeColor="accent3" w:themeTint="99" w:sz="4" w:space="0"/>
        </w:tcBorders>
      </w:tcPr>
    </w:tblStylePr>
    <w:tblStylePr w:type="firstCol">
      <w:rPr>
        <w:b/>
        <w:bCs/>
      </w:rPr>
    </w:tblStylePr>
    <w:tblStylePr w:type="lastCol">
      <w:rPr>
        <w:b/>
        <w:bCs/>
      </w:rPr>
    </w:tblStylePr>
    <w:tblStylePr w:type="band1Vert">
      <w:tcPr>
        <w:shd w:val="clear" w:color="auto" w:fill="C1F0C8" w:themeFill="accent3" w:themeFillTint="33"/>
      </w:tcPr>
    </w:tblStylePr>
    <w:tblStylePr w:type="band1Horz">
      <w:tcPr>
        <w:shd w:val="clear" w:color="auto" w:fill="C1F0C8" w:themeFill="accent3" w:themeFillTint="33"/>
      </w:tcPr>
    </w:tblStylePr>
  </w:style>
  <w:style w:type="table" w:customStyle="1" w:styleId="383">
    <w:name w:val="网格表 6 彩色 - 着色 41"/>
    <w:basedOn w:val="88"/>
    <w:qFormat/>
    <w:uiPriority w:val="51"/>
    <w:rPr>
      <w:color w:val="0B77A0" w:themeColor="accent4" w:themeShade="BF"/>
    </w:rPr>
    <w:tblPr>
      <w:tblBorders>
        <w:top w:val="single" w:color="60CBF3" w:themeColor="accent4" w:themeTint="99" w:sz="4" w:space="0"/>
        <w:left w:val="single" w:color="60CBF3" w:themeColor="accent4" w:themeTint="99" w:sz="4" w:space="0"/>
        <w:bottom w:val="single" w:color="60CBF3" w:themeColor="accent4" w:themeTint="99" w:sz="4" w:space="0"/>
        <w:right w:val="single" w:color="60CBF3" w:themeColor="accent4" w:themeTint="99" w:sz="4" w:space="0"/>
        <w:insideH w:val="single" w:color="60CBF3" w:themeColor="accent4" w:themeTint="99" w:sz="4" w:space="0"/>
        <w:insideV w:val="single" w:color="60CBF3" w:themeColor="accent4" w:themeTint="99" w:sz="4" w:space="0"/>
      </w:tblBorders>
    </w:tblPr>
    <w:tblStylePr w:type="firstRow">
      <w:rPr>
        <w:b/>
        <w:bCs/>
      </w:rPr>
      <w:tcPr>
        <w:tcBorders>
          <w:bottom w:val="single" w:color="60CBF3" w:themeColor="accent4" w:themeTint="99" w:sz="12" w:space="0"/>
        </w:tcBorders>
      </w:tcPr>
    </w:tblStylePr>
    <w:tblStylePr w:type="lastRow">
      <w:rPr>
        <w:b/>
        <w:bCs/>
      </w:rPr>
      <w:tcPr>
        <w:tcBorders>
          <w:top w:val="double" w:color="60CBF3" w:themeColor="accent4" w:themeTint="99" w:sz="4" w:space="0"/>
        </w:tcBorders>
      </w:tcPr>
    </w:tblStylePr>
    <w:tblStylePr w:type="firstCol">
      <w:rPr>
        <w:b/>
        <w:bCs/>
      </w:rPr>
    </w:tblStylePr>
    <w:tblStylePr w:type="lastCol">
      <w:rPr>
        <w:b/>
        <w:bCs/>
      </w:rPr>
    </w:tblStylePr>
    <w:tblStylePr w:type="band1Vert">
      <w:tcPr>
        <w:shd w:val="clear" w:color="auto" w:fill="CAEDFB" w:themeFill="accent4" w:themeFillTint="33"/>
      </w:tcPr>
    </w:tblStylePr>
    <w:tblStylePr w:type="band1Horz">
      <w:tcPr>
        <w:shd w:val="clear" w:color="auto" w:fill="CAEDFB" w:themeFill="accent4" w:themeFillTint="33"/>
      </w:tcPr>
    </w:tblStylePr>
  </w:style>
  <w:style w:type="table" w:customStyle="1" w:styleId="384">
    <w:name w:val="网格表 6 彩色 - 着色 51"/>
    <w:basedOn w:val="88"/>
    <w:qFormat/>
    <w:uiPriority w:val="51"/>
    <w:rPr>
      <w:color w:val="78206E" w:themeColor="accent5" w:themeShade="BF"/>
    </w:rPr>
    <w:tblPr>
      <w:tblBorders>
        <w:top w:val="single" w:color="D76DCC" w:themeColor="accent5" w:themeTint="99" w:sz="4" w:space="0"/>
        <w:left w:val="single" w:color="D76DCC" w:themeColor="accent5" w:themeTint="99" w:sz="4" w:space="0"/>
        <w:bottom w:val="single" w:color="D76DCC" w:themeColor="accent5" w:themeTint="99" w:sz="4" w:space="0"/>
        <w:right w:val="single" w:color="D76DCC" w:themeColor="accent5" w:themeTint="99" w:sz="4" w:space="0"/>
        <w:insideH w:val="single" w:color="D76DCC" w:themeColor="accent5" w:themeTint="99" w:sz="4" w:space="0"/>
        <w:insideV w:val="single" w:color="D76DCC" w:themeColor="accent5" w:themeTint="99" w:sz="4" w:space="0"/>
      </w:tblBorders>
    </w:tblPr>
    <w:tblStylePr w:type="firstRow">
      <w:rPr>
        <w:b/>
        <w:bCs/>
      </w:rPr>
      <w:tcPr>
        <w:tcBorders>
          <w:bottom w:val="single" w:color="D76DCC" w:themeColor="accent5" w:themeTint="99" w:sz="12" w:space="0"/>
        </w:tcBorders>
      </w:tcPr>
    </w:tblStylePr>
    <w:tblStylePr w:type="lastRow">
      <w:rPr>
        <w:b/>
        <w:bCs/>
      </w:rPr>
      <w:tcPr>
        <w:tcBorders>
          <w:top w:val="double" w:color="D76DCC" w:themeColor="accent5" w:themeTint="99" w:sz="4" w:space="0"/>
        </w:tcBorders>
      </w:tcPr>
    </w:tblStylePr>
    <w:tblStylePr w:type="firstCol">
      <w:rPr>
        <w:b/>
        <w:bCs/>
      </w:rPr>
    </w:tblStylePr>
    <w:tblStylePr w:type="lastCol">
      <w:rPr>
        <w:b/>
        <w:bCs/>
      </w:rPr>
    </w:tblStylePr>
    <w:tblStylePr w:type="band1Vert">
      <w:tcPr>
        <w:shd w:val="clear" w:color="auto" w:fill="F1CEEE" w:themeFill="accent5" w:themeFillTint="33"/>
      </w:tcPr>
    </w:tblStylePr>
    <w:tblStylePr w:type="band1Horz">
      <w:tcPr>
        <w:shd w:val="clear" w:color="auto" w:fill="F1CEEE" w:themeFill="accent5" w:themeFillTint="33"/>
      </w:tcPr>
    </w:tblStylePr>
  </w:style>
  <w:style w:type="table" w:customStyle="1" w:styleId="385">
    <w:name w:val="网格表 6 彩色 - 着色 61"/>
    <w:basedOn w:val="88"/>
    <w:qFormat/>
    <w:uiPriority w:val="51"/>
    <w:rPr>
      <w:color w:val="3B7D23" w:themeColor="accent6" w:themeShade="BF"/>
    </w:rPr>
    <w:tblPr>
      <w:tblBorders>
        <w:top w:val="single" w:color="8ED873" w:themeColor="accent6" w:themeTint="99" w:sz="4" w:space="0"/>
        <w:left w:val="single" w:color="8ED873" w:themeColor="accent6" w:themeTint="99" w:sz="4" w:space="0"/>
        <w:bottom w:val="single" w:color="8ED873" w:themeColor="accent6" w:themeTint="99" w:sz="4" w:space="0"/>
        <w:right w:val="single" w:color="8ED873" w:themeColor="accent6" w:themeTint="99" w:sz="4" w:space="0"/>
        <w:insideH w:val="single" w:color="8ED873" w:themeColor="accent6" w:themeTint="99" w:sz="4" w:space="0"/>
        <w:insideV w:val="single" w:color="8ED873" w:themeColor="accent6" w:themeTint="99" w:sz="4" w:space="0"/>
      </w:tblBorders>
    </w:tblPr>
    <w:tblStylePr w:type="firstRow">
      <w:rPr>
        <w:b/>
        <w:bCs/>
      </w:rPr>
      <w:tcPr>
        <w:tcBorders>
          <w:bottom w:val="single" w:color="8ED873" w:themeColor="accent6" w:themeTint="99" w:sz="12" w:space="0"/>
        </w:tcBorders>
      </w:tcPr>
    </w:tblStylePr>
    <w:tblStylePr w:type="lastRow">
      <w:rPr>
        <w:b/>
        <w:bCs/>
      </w:rPr>
      <w:tcPr>
        <w:tcBorders>
          <w:top w:val="double" w:color="8ED873" w:themeColor="accent6" w:themeTint="99" w:sz="4" w:space="0"/>
        </w:tcBorders>
      </w:tcPr>
    </w:tblStylePr>
    <w:tblStylePr w:type="firstCol">
      <w:rPr>
        <w:b/>
        <w:bCs/>
      </w:rPr>
    </w:tblStylePr>
    <w:tblStylePr w:type="lastCol">
      <w:rPr>
        <w:b/>
        <w:bCs/>
      </w:rPr>
    </w:tblStylePr>
    <w:tblStylePr w:type="band1Vert">
      <w:tcPr>
        <w:shd w:val="clear" w:color="auto" w:fill="D9F2D0" w:themeFill="accent6" w:themeFillTint="33"/>
      </w:tcPr>
    </w:tblStylePr>
    <w:tblStylePr w:type="band1Horz">
      <w:tcPr>
        <w:shd w:val="clear" w:color="auto" w:fill="D9F2D0" w:themeFill="accent6" w:themeFillTint="33"/>
      </w:tcPr>
    </w:tblStylePr>
  </w:style>
  <w:style w:type="table" w:customStyle="1" w:styleId="386">
    <w:name w:val="网格表 7 彩色1"/>
    <w:basedOn w:val="88"/>
    <w:qFormat/>
    <w:uiPriority w:val="52"/>
    <w:rPr>
      <w:color w:val="000000" w:themeColor="text1"/>
      <w14:textFill>
        <w14:solidFill>
          <w14:schemeClr w14:val="tx1"/>
        </w14:solidFill>
      </w14:textFill>
    </w:rPr>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bottom w:val="single" w:color="666666" w:themeColor="text1" w:themeTint="99" w:sz="4" w:space="0"/>
        </w:tcBorders>
      </w:tcPr>
    </w:tblStylePr>
    <w:tblStylePr w:type="nwCell">
      <w:tcPr>
        <w:tcBorders>
          <w:bottom w:val="single" w:color="666666" w:themeColor="text1" w:themeTint="99" w:sz="4" w:space="0"/>
        </w:tcBorders>
      </w:tcPr>
    </w:tblStylePr>
    <w:tblStylePr w:type="seCell">
      <w:tcPr>
        <w:tcBorders>
          <w:top w:val="single" w:color="666666" w:themeColor="text1" w:themeTint="99" w:sz="4" w:space="0"/>
        </w:tcBorders>
      </w:tcPr>
    </w:tblStylePr>
    <w:tblStylePr w:type="swCell">
      <w:tcPr>
        <w:tcBorders>
          <w:top w:val="single" w:color="666666" w:themeColor="text1" w:themeTint="99" w:sz="4" w:space="0"/>
        </w:tcBorders>
      </w:tcPr>
    </w:tblStylePr>
  </w:style>
  <w:style w:type="table" w:customStyle="1" w:styleId="387">
    <w:name w:val="网格表 7 彩色 - 着色 11"/>
    <w:basedOn w:val="88"/>
    <w:qFormat/>
    <w:uiPriority w:val="52"/>
    <w:rPr>
      <w:color w:val="104862" w:themeColor="accent1" w:themeShade="BF"/>
    </w:rPr>
    <w:tblPr>
      <w:tblBorders>
        <w:top w:val="single" w:color="45B0E1" w:themeColor="accent1" w:themeTint="99" w:sz="4" w:space="0"/>
        <w:left w:val="single" w:color="45B0E1" w:themeColor="accent1" w:themeTint="99" w:sz="4" w:space="0"/>
        <w:bottom w:val="single" w:color="45B0E1" w:themeColor="accent1" w:themeTint="99" w:sz="4" w:space="0"/>
        <w:right w:val="single" w:color="45B0E1" w:themeColor="accent1" w:themeTint="99" w:sz="4" w:space="0"/>
        <w:insideH w:val="single" w:color="45B0E1" w:themeColor="accent1" w:themeTint="99" w:sz="4" w:space="0"/>
        <w:insideV w:val="single" w:color="45B0E1" w:themeColor="accent1"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C1E4F5" w:themeFill="accent1" w:themeFillTint="33"/>
      </w:tcPr>
    </w:tblStylePr>
    <w:tblStylePr w:type="band1Horz">
      <w:tcPr>
        <w:shd w:val="clear" w:color="auto" w:fill="C1E4F5" w:themeFill="accent1" w:themeFillTint="33"/>
      </w:tcPr>
    </w:tblStylePr>
    <w:tblStylePr w:type="neCell">
      <w:tcPr>
        <w:tcBorders>
          <w:bottom w:val="single" w:color="45B0E1" w:themeColor="accent1" w:themeTint="99" w:sz="4" w:space="0"/>
        </w:tcBorders>
      </w:tcPr>
    </w:tblStylePr>
    <w:tblStylePr w:type="nwCell">
      <w:tcPr>
        <w:tcBorders>
          <w:bottom w:val="single" w:color="45B0E1" w:themeColor="accent1" w:themeTint="99" w:sz="4" w:space="0"/>
        </w:tcBorders>
      </w:tcPr>
    </w:tblStylePr>
    <w:tblStylePr w:type="seCell">
      <w:tcPr>
        <w:tcBorders>
          <w:top w:val="single" w:color="45B0E1" w:themeColor="accent1" w:themeTint="99" w:sz="4" w:space="0"/>
        </w:tcBorders>
      </w:tcPr>
    </w:tblStylePr>
    <w:tblStylePr w:type="swCell">
      <w:tcPr>
        <w:tcBorders>
          <w:top w:val="single" w:color="45B0E1" w:themeColor="accent1" w:themeTint="99" w:sz="4" w:space="0"/>
        </w:tcBorders>
      </w:tcPr>
    </w:tblStylePr>
  </w:style>
  <w:style w:type="table" w:customStyle="1" w:styleId="388">
    <w:name w:val="网格表 7 彩色 - 着色 21"/>
    <w:basedOn w:val="88"/>
    <w:qFormat/>
    <w:uiPriority w:val="52"/>
    <w:rPr>
      <w:color w:val="C04F15" w:themeColor="accent2" w:themeShade="BF"/>
    </w:rPr>
    <w:tblPr>
      <w:tblBorders>
        <w:top w:val="single" w:color="F1A983" w:themeColor="accent2" w:themeTint="99" w:sz="4" w:space="0"/>
        <w:left w:val="single" w:color="F1A983" w:themeColor="accent2" w:themeTint="99" w:sz="4" w:space="0"/>
        <w:bottom w:val="single" w:color="F1A983" w:themeColor="accent2" w:themeTint="99" w:sz="4" w:space="0"/>
        <w:right w:val="single" w:color="F1A983" w:themeColor="accent2" w:themeTint="99" w:sz="4" w:space="0"/>
        <w:insideH w:val="single" w:color="F1A983" w:themeColor="accent2" w:themeTint="99" w:sz="4" w:space="0"/>
        <w:insideV w:val="single" w:color="F1A983" w:themeColor="accent2"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AE2D5" w:themeFill="accent2" w:themeFillTint="33"/>
      </w:tcPr>
    </w:tblStylePr>
    <w:tblStylePr w:type="band1Horz">
      <w:tcPr>
        <w:shd w:val="clear" w:color="auto" w:fill="FAE2D5" w:themeFill="accent2" w:themeFillTint="33"/>
      </w:tcPr>
    </w:tblStylePr>
    <w:tblStylePr w:type="neCell">
      <w:tcPr>
        <w:tcBorders>
          <w:bottom w:val="single" w:color="F1A983" w:themeColor="accent2" w:themeTint="99" w:sz="4" w:space="0"/>
        </w:tcBorders>
      </w:tcPr>
    </w:tblStylePr>
    <w:tblStylePr w:type="nwCell">
      <w:tcPr>
        <w:tcBorders>
          <w:bottom w:val="single" w:color="F1A983" w:themeColor="accent2" w:themeTint="99" w:sz="4" w:space="0"/>
        </w:tcBorders>
      </w:tcPr>
    </w:tblStylePr>
    <w:tblStylePr w:type="seCell">
      <w:tcPr>
        <w:tcBorders>
          <w:top w:val="single" w:color="F1A983" w:themeColor="accent2" w:themeTint="99" w:sz="4" w:space="0"/>
        </w:tcBorders>
      </w:tcPr>
    </w:tblStylePr>
    <w:tblStylePr w:type="swCell">
      <w:tcPr>
        <w:tcBorders>
          <w:top w:val="single" w:color="F1A983" w:themeColor="accent2" w:themeTint="99" w:sz="4" w:space="0"/>
        </w:tcBorders>
      </w:tcPr>
    </w:tblStylePr>
  </w:style>
  <w:style w:type="table" w:customStyle="1" w:styleId="389">
    <w:name w:val="网格表 7 彩色 - 着色 31"/>
    <w:basedOn w:val="88"/>
    <w:qFormat/>
    <w:uiPriority w:val="52"/>
    <w:rPr>
      <w:color w:val="13501B" w:themeColor="accent3" w:themeShade="BF"/>
    </w:rPr>
    <w:tblPr>
      <w:tblBorders>
        <w:top w:val="single" w:color="47D45A" w:themeColor="accent3" w:themeTint="99" w:sz="4" w:space="0"/>
        <w:left w:val="single" w:color="47D45A" w:themeColor="accent3" w:themeTint="99" w:sz="4" w:space="0"/>
        <w:bottom w:val="single" w:color="47D45A" w:themeColor="accent3" w:themeTint="99" w:sz="4" w:space="0"/>
        <w:right w:val="single" w:color="47D45A" w:themeColor="accent3" w:themeTint="99" w:sz="4" w:space="0"/>
        <w:insideH w:val="single" w:color="47D45A" w:themeColor="accent3" w:themeTint="99" w:sz="4" w:space="0"/>
        <w:insideV w:val="single" w:color="47D45A" w:themeColor="accent3"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C1F0C8" w:themeFill="accent3" w:themeFillTint="33"/>
      </w:tcPr>
    </w:tblStylePr>
    <w:tblStylePr w:type="band1Horz">
      <w:tcPr>
        <w:shd w:val="clear" w:color="auto" w:fill="C1F0C8" w:themeFill="accent3" w:themeFillTint="33"/>
      </w:tcPr>
    </w:tblStylePr>
    <w:tblStylePr w:type="neCell">
      <w:tcPr>
        <w:tcBorders>
          <w:bottom w:val="single" w:color="47D45A" w:themeColor="accent3" w:themeTint="99" w:sz="4" w:space="0"/>
        </w:tcBorders>
      </w:tcPr>
    </w:tblStylePr>
    <w:tblStylePr w:type="nwCell">
      <w:tcPr>
        <w:tcBorders>
          <w:bottom w:val="single" w:color="47D45A" w:themeColor="accent3" w:themeTint="99" w:sz="4" w:space="0"/>
        </w:tcBorders>
      </w:tcPr>
    </w:tblStylePr>
    <w:tblStylePr w:type="seCell">
      <w:tcPr>
        <w:tcBorders>
          <w:top w:val="single" w:color="47D45A" w:themeColor="accent3" w:themeTint="99" w:sz="4" w:space="0"/>
        </w:tcBorders>
      </w:tcPr>
    </w:tblStylePr>
    <w:tblStylePr w:type="swCell">
      <w:tcPr>
        <w:tcBorders>
          <w:top w:val="single" w:color="47D45A" w:themeColor="accent3" w:themeTint="99" w:sz="4" w:space="0"/>
        </w:tcBorders>
      </w:tcPr>
    </w:tblStylePr>
  </w:style>
  <w:style w:type="table" w:customStyle="1" w:styleId="390">
    <w:name w:val="网格表 7 彩色 - 着色 41"/>
    <w:basedOn w:val="88"/>
    <w:qFormat/>
    <w:uiPriority w:val="52"/>
    <w:rPr>
      <w:color w:val="0B77A0" w:themeColor="accent4" w:themeShade="BF"/>
    </w:rPr>
    <w:tblPr>
      <w:tblBorders>
        <w:top w:val="single" w:color="60CBF3" w:themeColor="accent4" w:themeTint="99" w:sz="4" w:space="0"/>
        <w:left w:val="single" w:color="60CBF3" w:themeColor="accent4" w:themeTint="99" w:sz="4" w:space="0"/>
        <w:bottom w:val="single" w:color="60CBF3" w:themeColor="accent4" w:themeTint="99" w:sz="4" w:space="0"/>
        <w:right w:val="single" w:color="60CBF3" w:themeColor="accent4" w:themeTint="99" w:sz="4" w:space="0"/>
        <w:insideH w:val="single" w:color="60CBF3" w:themeColor="accent4" w:themeTint="99" w:sz="4" w:space="0"/>
        <w:insideV w:val="single" w:color="60CBF3" w:themeColor="accent4"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CAEDFB" w:themeFill="accent4" w:themeFillTint="33"/>
      </w:tcPr>
    </w:tblStylePr>
    <w:tblStylePr w:type="band1Horz">
      <w:tcPr>
        <w:shd w:val="clear" w:color="auto" w:fill="CAEDFB" w:themeFill="accent4" w:themeFillTint="33"/>
      </w:tcPr>
    </w:tblStylePr>
    <w:tblStylePr w:type="neCell">
      <w:tcPr>
        <w:tcBorders>
          <w:bottom w:val="single" w:color="60CBF3" w:themeColor="accent4" w:themeTint="99" w:sz="4" w:space="0"/>
        </w:tcBorders>
      </w:tcPr>
    </w:tblStylePr>
    <w:tblStylePr w:type="nwCell">
      <w:tcPr>
        <w:tcBorders>
          <w:bottom w:val="single" w:color="60CBF3" w:themeColor="accent4" w:themeTint="99" w:sz="4" w:space="0"/>
        </w:tcBorders>
      </w:tcPr>
    </w:tblStylePr>
    <w:tblStylePr w:type="seCell">
      <w:tcPr>
        <w:tcBorders>
          <w:top w:val="single" w:color="60CBF3" w:themeColor="accent4" w:themeTint="99" w:sz="4" w:space="0"/>
        </w:tcBorders>
      </w:tcPr>
    </w:tblStylePr>
    <w:tblStylePr w:type="swCell">
      <w:tcPr>
        <w:tcBorders>
          <w:top w:val="single" w:color="60CBF3" w:themeColor="accent4" w:themeTint="99" w:sz="4" w:space="0"/>
        </w:tcBorders>
      </w:tcPr>
    </w:tblStylePr>
  </w:style>
  <w:style w:type="table" w:customStyle="1" w:styleId="391">
    <w:name w:val="网格表 7 彩色 - 着色 51"/>
    <w:basedOn w:val="88"/>
    <w:qFormat/>
    <w:uiPriority w:val="52"/>
    <w:rPr>
      <w:color w:val="78206E" w:themeColor="accent5" w:themeShade="BF"/>
    </w:rPr>
    <w:tblPr>
      <w:tblBorders>
        <w:top w:val="single" w:color="D76DCC" w:themeColor="accent5" w:themeTint="99" w:sz="4" w:space="0"/>
        <w:left w:val="single" w:color="D76DCC" w:themeColor="accent5" w:themeTint="99" w:sz="4" w:space="0"/>
        <w:bottom w:val="single" w:color="D76DCC" w:themeColor="accent5" w:themeTint="99" w:sz="4" w:space="0"/>
        <w:right w:val="single" w:color="D76DCC" w:themeColor="accent5" w:themeTint="99" w:sz="4" w:space="0"/>
        <w:insideH w:val="single" w:color="D76DCC" w:themeColor="accent5" w:themeTint="99" w:sz="4" w:space="0"/>
        <w:insideV w:val="single" w:color="D76DCC" w:themeColor="accent5"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1CEEE" w:themeFill="accent5" w:themeFillTint="33"/>
      </w:tcPr>
    </w:tblStylePr>
    <w:tblStylePr w:type="band1Horz">
      <w:tcPr>
        <w:shd w:val="clear" w:color="auto" w:fill="F1CEEE" w:themeFill="accent5" w:themeFillTint="33"/>
      </w:tcPr>
    </w:tblStylePr>
    <w:tblStylePr w:type="neCell">
      <w:tcPr>
        <w:tcBorders>
          <w:bottom w:val="single" w:color="D76DCC" w:themeColor="accent5" w:themeTint="99" w:sz="4" w:space="0"/>
        </w:tcBorders>
      </w:tcPr>
    </w:tblStylePr>
    <w:tblStylePr w:type="nwCell">
      <w:tcPr>
        <w:tcBorders>
          <w:bottom w:val="single" w:color="D76DCC" w:themeColor="accent5" w:themeTint="99" w:sz="4" w:space="0"/>
        </w:tcBorders>
      </w:tcPr>
    </w:tblStylePr>
    <w:tblStylePr w:type="seCell">
      <w:tcPr>
        <w:tcBorders>
          <w:top w:val="single" w:color="D76DCC" w:themeColor="accent5" w:themeTint="99" w:sz="4" w:space="0"/>
        </w:tcBorders>
      </w:tcPr>
    </w:tblStylePr>
    <w:tblStylePr w:type="swCell">
      <w:tcPr>
        <w:tcBorders>
          <w:top w:val="single" w:color="D76DCC" w:themeColor="accent5" w:themeTint="99" w:sz="4" w:space="0"/>
        </w:tcBorders>
      </w:tcPr>
    </w:tblStylePr>
  </w:style>
  <w:style w:type="table" w:customStyle="1" w:styleId="392">
    <w:name w:val="网格表 7 彩色 - 着色 61"/>
    <w:basedOn w:val="88"/>
    <w:qFormat/>
    <w:uiPriority w:val="52"/>
    <w:rPr>
      <w:color w:val="3B7D23" w:themeColor="accent6" w:themeShade="BF"/>
    </w:rPr>
    <w:tblPr>
      <w:tblBorders>
        <w:top w:val="single" w:color="8ED873" w:themeColor="accent6" w:themeTint="99" w:sz="4" w:space="0"/>
        <w:left w:val="single" w:color="8ED873" w:themeColor="accent6" w:themeTint="99" w:sz="4" w:space="0"/>
        <w:bottom w:val="single" w:color="8ED873" w:themeColor="accent6" w:themeTint="99" w:sz="4" w:space="0"/>
        <w:right w:val="single" w:color="8ED873" w:themeColor="accent6" w:themeTint="99" w:sz="4" w:space="0"/>
        <w:insideH w:val="single" w:color="8ED873" w:themeColor="accent6" w:themeTint="99" w:sz="4" w:space="0"/>
        <w:insideV w:val="single" w:color="8ED873" w:themeColor="accent6"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D9F2D0" w:themeFill="accent6" w:themeFillTint="33"/>
      </w:tcPr>
    </w:tblStylePr>
    <w:tblStylePr w:type="band1Horz">
      <w:tcPr>
        <w:shd w:val="clear" w:color="auto" w:fill="D9F2D0" w:themeFill="accent6" w:themeFillTint="33"/>
      </w:tcPr>
    </w:tblStylePr>
    <w:tblStylePr w:type="neCell">
      <w:tcPr>
        <w:tcBorders>
          <w:bottom w:val="single" w:color="8ED873" w:themeColor="accent6" w:themeTint="99" w:sz="4" w:space="0"/>
        </w:tcBorders>
      </w:tcPr>
    </w:tblStylePr>
    <w:tblStylePr w:type="nwCell">
      <w:tcPr>
        <w:tcBorders>
          <w:bottom w:val="single" w:color="8ED873" w:themeColor="accent6" w:themeTint="99" w:sz="4" w:space="0"/>
        </w:tcBorders>
      </w:tcPr>
    </w:tblStylePr>
    <w:tblStylePr w:type="seCell">
      <w:tcPr>
        <w:tcBorders>
          <w:top w:val="single" w:color="8ED873" w:themeColor="accent6" w:themeTint="99" w:sz="4" w:space="0"/>
        </w:tcBorders>
      </w:tcPr>
    </w:tblStylePr>
    <w:tblStylePr w:type="swCell">
      <w:tcPr>
        <w:tcBorders>
          <w:top w:val="single" w:color="8ED873" w:themeColor="accent6" w:themeTint="99" w:sz="4" w:space="0"/>
        </w:tcBorders>
      </w:tcPr>
    </w:tblStylePr>
  </w:style>
  <w:style w:type="table" w:customStyle="1" w:styleId="393">
    <w:name w:val="网格型浅色1"/>
    <w:basedOn w:val="88"/>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character" w:customStyle="1" w:styleId="394">
    <w:name w:val="尾注文本 字符"/>
    <w:basedOn w:val="231"/>
    <w:link w:val="52"/>
    <w:semiHidden/>
    <w:uiPriority w:val="99"/>
    <w:rPr>
      <w:rFonts w:asciiTheme="minorHAnsi" w:hAnsiTheme="minorHAnsi" w:eastAsiaTheme="minorEastAsia" w:cstheme="minorBidi"/>
      <w:kern w:val="2"/>
      <w:sz w:val="22"/>
      <w:szCs w:val="24"/>
      <w14:ligatures w14:val="standardContextual"/>
    </w:rPr>
  </w:style>
  <w:style w:type="character" w:customStyle="1" w:styleId="395">
    <w:name w:val="未处理的提及2"/>
    <w:basedOn w:val="231"/>
    <w:semiHidden/>
    <w:unhideWhenUsed/>
    <w:uiPriority w:val="99"/>
    <w:rPr>
      <w:color w:val="605E5C"/>
      <w:shd w:val="clear" w:color="auto" w:fill="E1DFDD"/>
    </w:rPr>
  </w:style>
  <w:style w:type="character" w:customStyle="1" w:styleId="396">
    <w:name w:val="文档结构图 字符"/>
    <w:basedOn w:val="231"/>
    <w:link w:val="26"/>
    <w:semiHidden/>
    <w:uiPriority w:val="99"/>
    <w:rPr>
      <w:rFonts w:ascii="Microsoft YaHei UI" w:eastAsia="Microsoft YaHei UI" w:hAnsiTheme="minorHAnsi" w:cstheme="minorBidi"/>
      <w:kern w:val="2"/>
      <w:sz w:val="18"/>
      <w:szCs w:val="18"/>
      <w14:ligatures w14:val="standardContextual"/>
    </w:rPr>
  </w:style>
  <w:style w:type="table" w:customStyle="1" w:styleId="397">
    <w:name w:val="无格式表格 11"/>
    <w:basedOn w:val="88"/>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398">
    <w:name w:val="无格式表格 21"/>
    <w:basedOn w:val="88"/>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399">
    <w:name w:val="无格式表格 31"/>
    <w:basedOn w:val="88"/>
    <w:uiPriority w:val="43"/>
    <w:tblStylePr w:type="firstRow">
      <w:rPr>
        <w:b/>
        <w:bCs/>
        <w:caps/>
      </w:rPr>
      <w:tcPr>
        <w:tcBorders>
          <w:bottom w:val="single" w:color="7E7E7E" w:themeColor="text1" w:themeTint="80" w:sz="4" w:space="0"/>
        </w:tcBorders>
      </w:tcPr>
    </w:tblStylePr>
    <w:tblStylePr w:type="lastRow">
      <w:rPr>
        <w:b/>
        <w:bCs/>
        <w:caps/>
      </w:rPr>
      <w:tcPr>
        <w:tcBorders>
          <w:top w:val="nil"/>
        </w:tcBorders>
      </w:tcPr>
    </w:tblStylePr>
    <w:tblStylePr w:type="firstCol">
      <w:rPr>
        <w:b/>
        <w:bCs/>
        <w:caps/>
      </w:rPr>
      <w:tcPr>
        <w:tcBorders>
          <w:right w:val="single" w:color="7E7E7E" w:themeColor="text1" w:themeTint="80" w:sz="4" w:space="0"/>
        </w:tcBorders>
      </w:tcPr>
    </w:tblStylePr>
    <w:tblStylePr w:type="lastCol">
      <w:rPr>
        <w:b/>
        <w:bCs/>
        <w:caps/>
      </w:rPr>
      <w:tcPr>
        <w:tcBorders>
          <w:left w:val="nil"/>
        </w:tcBorders>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style>
  <w:style w:type="table" w:customStyle="1" w:styleId="400">
    <w:name w:val="无格式表格 41"/>
    <w:basedOn w:val="88"/>
    <w:uiPriority w:val="44"/>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401">
    <w:name w:val="无格式表格 51"/>
    <w:basedOn w:val="88"/>
    <w:uiPriority w:val="45"/>
    <w:tblStylePr w:type="firstRow">
      <w:rPr>
        <w:rFonts w:asciiTheme="majorHAnsi" w:hAnsiTheme="majorHAnsi" w:eastAsiaTheme="majorEastAsia" w:cstheme="majorBidi"/>
        <w:i/>
        <w:iCs/>
        <w:sz w:val="26"/>
      </w:rPr>
      <w:tcPr>
        <w:tcBorders>
          <w:bottom w:val="single" w:color="7E7E7E"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7E7E7E"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7E7E7E"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7E7E7E" w:themeColor="text1" w:themeTint="80" w:sz="4" w:space="0"/>
        </w:tcBorders>
        <w:shd w:val="clear" w:color="auto" w:fill="FFFFFF" w:themeFill="background1"/>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paragraph" w:styleId="402">
    <w:name w:val="No Spacing"/>
    <w:semiHidden/>
    <w:unhideWhenUsed/>
    <w:uiPriority w:val="99"/>
    <w:pPr>
      <w:widowControl w:val="0"/>
    </w:pPr>
    <w:rPr>
      <w:rFonts w:asciiTheme="minorHAnsi" w:hAnsiTheme="minorHAnsi" w:eastAsiaTheme="minorEastAsia" w:cstheme="minorBidi"/>
      <w:kern w:val="2"/>
      <w:sz w:val="22"/>
      <w:szCs w:val="24"/>
      <w:lang w:val="en-US" w:eastAsia="zh-CN" w:bidi="ar-SA"/>
      <w14:ligatures w14:val="standardContextual"/>
    </w:rPr>
  </w:style>
  <w:style w:type="character" w:customStyle="1" w:styleId="403">
    <w:name w:val="信息标题 字符"/>
    <w:basedOn w:val="231"/>
    <w:link w:val="79"/>
    <w:semiHidden/>
    <w:qFormat/>
    <w:uiPriority w:val="99"/>
    <w:rPr>
      <w:rFonts w:asciiTheme="majorHAnsi" w:hAnsiTheme="majorHAnsi" w:eastAsiaTheme="majorEastAsia" w:cstheme="majorBidi"/>
      <w:kern w:val="2"/>
      <w:sz w:val="24"/>
      <w:szCs w:val="24"/>
      <w:shd w:val="pct20" w:color="auto" w:fill="auto"/>
      <w14:ligatures w14:val="standardContextual"/>
    </w:rPr>
  </w:style>
  <w:style w:type="paragraph" w:styleId="404">
    <w:name w:val="Quote"/>
    <w:basedOn w:val="1"/>
    <w:next w:val="1"/>
    <w:link w:val="405"/>
    <w:semiHidden/>
    <w:unhideWhenUsed/>
    <w:qFormat/>
    <w:uiPriority w:val="99"/>
    <w:pPr>
      <w:spacing w:before="200"/>
      <w:ind w:left="864" w:right="864"/>
      <w:jc w:val="center"/>
    </w:pPr>
    <w:rPr>
      <w:i/>
      <w:iCs/>
      <w:color w:val="404040" w:themeColor="text1" w:themeTint="BF"/>
      <w14:textFill>
        <w14:solidFill>
          <w14:schemeClr w14:val="tx1">
            <w14:lumMod w14:val="75000"/>
            <w14:lumOff w14:val="25000"/>
          </w14:schemeClr>
        </w14:solidFill>
      </w14:textFill>
    </w:rPr>
  </w:style>
  <w:style w:type="character" w:customStyle="1" w:styleId="405">
    <w:name w:val="引用 字符"/>
    <w:basedOn w:val="231"/>
    <w:link w:val="404"/>
    <w:semiHidden/>
    <w:qFormat/>
    <w:uiPriority w:val="99"/>
    <w:rPr>
      <w:rFonts w:asciiTheme="minorHAnsi" w:hAnsiTheme="minorHAnsi" w:eastAsiaTheme="minorEastAsia" w:cstheme="minorBidi"/>
      <w:i/>
      <w:iCs/>
      <w:color w:val="404040" w:themeColor="text1" w:themeTint="BF"/>
      <w:kern w:val="2"/>
      <w:sz w:val="22"/>
      <w:szCs w:val="24"/>
      <w14:textFill>
        <w14:solidFill>
          <w14:schemeClr w14:val="tx1">
            <w14:lumMod w14:val="75000"/>
            <w14:lumOff w14:val="25000"/>
          </w14:schemeClr>
        </w14:solidFill>
      </w14:textFill>
      <w14:ligatures w14:val="standardContextual"/>
    </w:rPr>
  </w:style>
  <w:style w:type="character" w:customStyle="1" w:styleId="406">
    <w:name w:val="正文文本 字符"/>
    <w:basedOn w:val="231"/>
    <w:link w:val="34"/>
    <w:semiHidden/>
    <w:qFormat/>
    <w:uiPriority w:val="99"/>
    <w:rPr>
      <w:rFonts w:asciiTheme="minorHAnsi" w:hAnsiTheme="minorHAnsi" w:eastAsiaTheme="minorEastAsia" w:cstheme="minorBidi"/>
      <w:kern w:val="2"/>
      <w:sz w:val="22"/>
      <w:szCs w:val="24"/>
      <w14:ligatures w14:val="standardContextual"/>
    </w:rPr>
  </w:style>
  <w:style w:type="character" w:customStyle="1" w:styleId="407">
    <w:name w:val="正文文本 2 字符"/>
    <w:basedOn w:val="231"/>
    <w:link w:val="76"/>
    <w:semiHidden/>
    <w:qFormat/>
    <w:uiPriority w:val="99"/>
    <w:rPr>
      <w:rFonts w:asciiTheme="minorHAnsi" w:hAnsiTheme="minorHAnsi" w:eastAsiaTheme="minorEastAsia" w:cstheme="minorBidi"/>
      <w:kern w:val="2"/>
      <w:sz w:val="22"/>
      <w:szCs w:val="24"/>
      <w14:ligatures w14:val="standardContextual"/>
    </w:rPr>
  </w:style>
  <w:style w:type="character" w:customStyle="1" w:styleId="408">
    <w:name w:val="正文文本 3 字符"/>
    <w:basedOn w:val="231"/>
    <w:link w:val="31"/>
    <w:semiHidden/>
    <w:qFormat/>
    <w:uiPriority w:val="99"/>
    <w:rPr>
      <w:rFonts w:asciiTheme="minorHAnsi" w:hAnsiTheme="minorHAnsi" w:eastAsiaTheme="minorEastAsia" w:cstheme="minorBidi"/>
      <w:kern w:val="2"/>
      <w:sz w:val="16"/>
      <w:szCs w:val="16"/>
      <w14:ligatures w14:val="standardContextual"/>
    </w:rPr>
  </w:style>
  <w:style w:type="character" w:customStyle="1" w:styleId="409">
    <w:name w:val="正文文本首行缩进 字符"/>
    <w:basedOn w:val="406"/>
    <w:link w:val="86"/>
    <w:semiHidden/>
    <w:qFormat/>
    <w:uiPriority w:val="99"/>
    <w:rPr>
      <w:rFonts w:asciiTheme="minorHAnsi" w:hAnsiTheme="minorHAnsi" w:eastAsiaTheme="minorEastAsia" w:cstheme="minorBidi"/>
      <w:kern w:val="2"/>
      <w:sz w:val="22"/>
      <w:szCs w:val="24"/>
      <w14:ligatures w14:val="standardContextual"/>
    </w:rPr>
  </w:style>
  <w:style w:type="character" w:customStyle="1" w:styleId="410">
    <w:name w:val="正文文本缩进 字符"/>
    <w:basedOn w:val="231"/>
    <w:link w:val="35"/>
    <w:semiHidden/>
    <w:qFormat/>
    <w:uiPriority w:val="99"/>
    <w:rPr>
      <w:rFonts w:asciiTheme="minorHAnsi" w:hAnsiTheme="minorHAnsi" w:eastAsiaTheme="minorEastAsia" w:cstheme="minorBidi"/>
      <w:kern w:val="2"/>
      <w:sz w:val="22"/>
      <w:szCs w:val="24"/>
      <w14:ligatures w14:val="standardContextual"/>
    </w:rPr>
  </w:style>
  <w:style w:type="character" w:customStyle="1" w:styleId="411">
    <w:name w:val="正文文本首行缩进 2 字符"/>
    <w:basedOn w:val="410"/>
    <w:link w:val="87"/>
    <w:semiHidden/>
    <w:qFormat/>
    <w:uiPriority w:val="99"/>
    <w:rPr>
      <w:rFonts w:asciiTheme="minorHAnsi" w:hAnsiTheme="minorHAnsi" w:eastAsiaTheme="minorEastAsia" w:cstheme="minorBidi"/>
      <w:kern w:val="2"/>
      <w:sz w:val="22"/>
      <w:szCs w:val="24"/>
      <w14:ligatures w14:val="standardContextual"/>
    </w:rPr>
  </w:style>
  <w:style w:type="character" w:customStyle="1" w:styleId="412">
    <w:name w:val="正文文本缩进 2 字符"/>
    <w:basedOn w:val="231"/>
    <w:link w:val="51"/>
    <w:semiHidden/>
    <w:qFormat/>
    <w:uiPriority w:val="99"/>
    <w:rPr>
      <w:rFonts w:asciiTheme="minorHAnsi" w:hAnsiTheme="minorHAnsi" w:eastAsiaTheme="minorEastAsia" w:cstheme="minorBidi"/>
      <w:kern w:val="2"/>
      <w:sz w:val="22"/>
      <w:szCs w:val="24"/>
      <w14:ligatures w14:val="standardContextual"/>
    </w:rPr>
  </w:style>
  <w:style w:type="character" w:customStyle="1" w:styleId="413">
    <w:name w:val="正文文本缩进 3 字符"/>
    <w:basedOn w:val="231"/>
    <w:link w:val="70"/>
    <w:semiHidden/>
    <w:qFormat/>
    <w:uiPriority w:val="99"/>
    <w:rPr>
      <w:rFonts w:asciiTheme="minorHAnsi" w:hAnsiTheme="minorHAnsi" w:eastAsiaTheme="minorEastAsia" w:cstheme="minorBidi"/>
      <w:kern w:val="2"/>
      <w:sz w:val="16"/>
      <w:szCs w:val="16"/>
      <w14:ligatures w14:val="standardContextual"/>
    </w:rPr>
  </w:style>
  <w:style w:type="character" w:customStyle="1" w:styleId="414">
    <w:name w:val="智能超链接1"/>
    <w:basedOn w:val="231"/>
    <w:semiHidden/>
    <w:unhideWhenUsed/>
    <w:qFormat/>
    <w:uiPriority w:val="99"/>
    <w:rPr>
      <w:u w:val="dotted"/>
    </w:rPr>
  </w:style>
  <w:style w:type="character" w:customStyle="1" w:styleId="415">
    <w:name w:val="智能链接1"/>
    <w:basedOn w:val="231"/>
    <w:semiHidden/>
    <w:unhideWhenUsed/>
    <w:qFormat/>
    <w:uiPriority w:val="99"/>
    <w:rPr>
      <w:color w:val="0000FF"/>
      <w:u w:val="single"/>
      <w:shd w:val="clear" w:color="auto" w:fill="F3F2F1"/>
    </w:rPr>
  </w:style>
  <w:style w:type="character" w:customStyle="1" w:styleId="416">
    <w:name w:val="注释标题 字符"/>
    <w:basedOn w:val="231"/>
    <w:link w:val="16"/>
    <w:semiHidden/>
    <w:qFormat/>
    <w:uiPriority w:val="99"/>
    <w:rPr>
      <w:rFonts w:asciiTheme="minorHAnsi" w:hAnsiTheme="minorHAnsi" w:eastAsiaTheme="minorEastAsia" w:cstheme="minorBidi"/>
      <w:kern w:val="2"/>
      <w:sz w:val="22"/>
      <w:szCs w:val="24"/>
      <w14:ligatures w14:val="standardContextual"/>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numbering" Target="numbering.xml"/><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003CDE-0CE7-4183-8B0E-E7D8B81F9396}">
  <ds:schemaRefs/>
</ds:datastoreItem>
</file>

<file path=docProps/app.xml><?xml version="1.0" encoding="utf-8"?>
<Properties xmlns="http://schemas.openxmlformats.org/officeDocument/2006/extended-properties" xmlns:vt="http://schemas.openxmlformats.org/officeDocument/2006/docPropsVTypes">
  <Template>Normal</Template>
  <Pages>47</Pages>
  <Words>5547</Words>
  <Characters>6038</Characters>
  <Lines>202</Lines>
  <Paragraphs>56</Paragraphs>
  <TotalTime>1</TotalTime>
  <ScaleCrop>false</ScaleCrop>
  <LinksUpToDate>false</LinksUpToDate>
  <CharactersWithSpaces>6261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2024-08-07T15:27:00Z</dcterms:created>
  <dc:creator>Administrator</dc:creator>
  <cp:lastModifiedBy>WPS_1601648774</cp:lastModifiedBy>
  <dcterms:modified xsi:type="dcterms:W3CDTF">2025-07-18T09:09:52Z</dcterms:modified>
  <cp:revision>932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9626B617C61B4055B7C91829C04913BE_13</vt:lpwstr>
  </property>
  <property fmtid="{D5CDD505-2E9C-101B-9397-08002B2CF9AE}" pid="4" name="KSOTemplateDocerSaveRecord">
    <vt:lpwstr>eyJoZGlkIjoiMTM1NjM1YzIxNWQ4ZGUwNjg4NTE3ZWQzZmQyNjA5ZDciLCJ1c2VySWQiOiIxMTI2ODM5MTcxIn0=</vt:lpwstr>
  </property>
</Properties>
</file>