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12" w:space="1"/>
        </w:pBdr>
        <w:autoSpaceDE w:val="0"/>
        <w:autoSpaceDN w:val="0"/>
        <w:adjustRightInd w:val="0"/>
        <w:spacing w:line="700" w:lineRule="exact"/>
        <w:jc w:val="center"/>
        <w:rPr>
          <w:rFonts w:ascii="方正小标宋简体" w:eastAsia="方正小标宋简体"/>
          <w:kern w:val="0"/>
          <w:sz w:val="44"/>
        </w:rPr>
      </w:pPr>
      <w:r>
        <w:rPr>
          <w:rFonts w:hint="eastAsia" w:ascii="方正小标宋简体" w:eastAsia="方正小标宋简体"/>
          <w:kern w:val="0"/>
          <w:sz w:val="44"/>
        </w:rPr>
        <w:t>泉州市洛江区文化体育和旅游局（函）</w:t>
      </w:r>
    </w:p>
    <w:p>
      <w:pPr>
        <w:autoSpaceDE w:val="0"/>
        <w:autoSpaceDN w:val="0"/>
        <w:adjustRightInd w:val="0"/>
        <w:snapToGrid w:val="0"/>
        <w:spacing w:line="540" w:lineRule="exact"/>
        <w:jc w:val="right"/>
        <w:rPr>
          <w:rFonts w:ascii="仿宋_GB2312" w:eastAsia="仿宋_GB2312"/>
          <w:kern w:val="0"/>
          <w:sz w:val="32"/>
        </w:rPr>
      </w:pPr>
      <w:r>
        <w:rPr>
          <w:rFonts w:hint="eastAsia" w:ascii="仿宋_GB2312" w:eastAsia="仿宋_GB2312"/>
          <w:kern w:val="0"/>
          <w:sz w:val="32"/>
          <w:lang w:eastAsia="zh-CN"/>
        </w:rPr>
        <w:t>泉洛政文体旅</w:t>
      </w:r>
      <w:r>
        <w:rPr>
          <w:rFonts w:hint="eastAsia" w:ascii="仿宋_GB2312" w:eastAsia="仿宋_GB2312"/>
          <w:kern w:val="0"/>
          <w:sz w:val="32"/>
        </w:rPr>
        <w:t>函〔</w:t>
      </w:r>
      <w:r>
        <w:rPr>
          <w:rFonts w:ascii="仿宋_GB2312" w:eastAsia="仿宋_GB2312"/>
          <w:kern w:val="0"/>
          <w:sz w:val="32"/>
        </w:rPr>
        <w:t>20</w:t>
      </w:r>
      <w:r>
        <w:rPr>
          <w:rFonts w:hint="eastAsia" w:ascii="仿宋_GB2312" w:eastAsia="仿宋_GB2312"/>
          <w:kern w:val="0"/>
          <w:sz w:val="32"/>
        </w:rPr>
        <w:t>25〕</w:t>
      </w:r>
      <w:r>
        <w:rPr>
          <w:rFonts w:hint="eastAsia" w:ascii="仿宋_GB2312" w:eastAsia="仿宋_GB2312"/>
          <w:kern w:val="0"/>
          <w:sz w:val="32"/>
          <w:lang w:val="en-US" w:eastAsia="zh-CN"/>
        </w:rPr>
        <w:t>16</w:t>
      </w:r>
      <w:r>
        <w:rPr>
          <w:rFonts w:hint="eastAsia" w:ascii="仿宋_GB2312" w:eastAsia="仿宋_GB2312"/>
          <w:kern w:val="0"/>
          <w:sz w:val="32"/>
        </w:rPr>
        <w:t>号</w:t>
      </w:r>
    </w:p>
    <w:p>
      <w:pPr>
        <w:wordWrap w:val="0"/>
        <w:autoSpaceDE w:val="0"/>
        <w:autoSpaceDN w:val="0"/>
        <w:adjustRightInd w:val="0"/>
        <w:snapToGrid w:val="0"/>
        <w:spacing w:line="540" w:lineRule="exact"/>
        <w:jc w:val="center"/>
        <w:rPr>
          <w:rFonts w:ascii="仿宋_GB2312" w:eastAsia="仿宋_GB2312"/>
          <w:kern w:val="0"/>
          <w:sz w:val="32"/>
        </w:rPr>
      </w:pPr>
      <w:r>
        <w:rPr>
          <w:rFonts w:hint="eastAsia" w:ascii="仿宋_GB2312" w:eastAsia="仿宋_GB2312"/>
          <w:kern w:val="0"/>
          <w:sz w:val="32"/>
          <w:lang w:val="en-US" w:eastAsia="zh-CN"/>
        </w:rPr>
        <w:t xml:space="preserve">                           </w:t>
      </w:r>
      <w:r>
        <w:rPr>
          <w:rFonts w:hint="eastAsia" w:ascii="仿宋_GB2312" w:eastAsia="仿宋_GB2312"/>
          <w:kern w:val="0"/>
          <w:sz w:val="32"/>
        </w:rPr>
        <w:t>答复类别：</w:t>
      </w:r>
      <w:r>
        <w:rPr>
          <w:rFonts w:hint="eastAsia" w:ascii="仿宋_GB2312" w:eastAsia="仿宋_GB2312"/>
          <w:kern w:val="0"/>
          <w:sz w:val="32"/>
          <w:lang w:val="en-US" w:eastAsia="zh-CN"/>
        </w:rPr>
        <w:t>A</w:t>
      </w:r>
      <w:r>
        <w:rPr>
          <w:rFonts w:hint="eastAsia" w:ascii="仿宋_GB2312" w:eastAsia="仿宋_GB2312"/>
          <w:kern w:val="0"/>
          <w:sz w:val="32"/>
        </w:rPr>
        <w:t xml:space="preserve">          </w:t>
      </w:r>
    </w:p>
    <w:p>
      <w:pPr>
        <w:autoSpaceDE w:val="0"/>
        <w:autoSpaceDN w:val="0"/>
        <w:adjustRightInd w:val="0"/>
        <w:snapToGrid w:val="0"/>
        <w:spacing w:beforeLines="50" w:afterLines="50"/>
        <w:jc w:val="left"/>
        <w:rPr>
          <w:rFonts w:ascii="仿宋_GB2312" w:eastAsia="仿宋_GB2312"/>
          <w:kern w:val="0"/>
          <w:sz w:val="32"/>
        </w:rPr>
      </w:pPr>
    </w:p>
    <w:p>
      <w:pPr>
        <w:autoSpaceDE w:val="0"/>
        <w:autoSpaceDN w:val="0"/>
        <w:adjustRightInd w:val="0"/>
        <w:snapToGrid w:val="0"/>
        <w:jc w:val="center"/>
        <w:rPr>
          <w:rFonts w:ascii="方正小标宋简体" w:eastAsia="方正小标宋简体"/>
          <w:kern w:val="0"/>
          <w:sz w:val="44"/>
          <w:szCs w:val="44"/>
        </w:rPr>
      </w:pPr>
      <w:r>
        <w:rPr>
          <w:rFonts w:hint="eastAsia" w:ascii="方正小标宋简体" w:eastAsia="方正小标宋简体"/>
          <w:kern w:val="0"/>
          <w:sz w:val="44"/>
          <w:szCs w:val="44"/>
        </w:rPr>
        <w:t>关于政协洛江区六届四次会议</w:t>
      </w:r>
    </w:p>
    <w:p>
      <w:pPr>
        <w:autoSpaceDE w:val="0"/>
        <w:autoSpaceDN w:val="0"/>
        <w:adjustRightInd w:val="0"/>
        <w:spacing w:line="640" w:lineRule="exact"/>
        <w:jc w:val="center"/>
        <w:rPr>
          <w:rFonts w:ascii="方正小标宋简体" w:eastAsia="方正小标宋简体"/>
          <w:kern w:val="0"/>
          <w:sz w:val="44"/>
          <w:szCs w:val="44"/>
        </w:rPr>
      </w:pPr>
      <w:r>
        <w:rPr>
          <w:rFonts w:hint="eastAsia" w:ascii="方正小标宋简体" w:eastAsia="方正小标宋简体"/>
          <w:kern w:val="0"/>
          <w:sz w:val="44"/>
          <w:szCs w:val="44"/>
        </w:rPr>
        <w:t>第</w:t>
      </w:r>
      <w:r>
        <w:rPr>
          <w:rFonts w:hint="eastAsia" w:ascii="方正小标宋简体" w:eastAsia="方正小标宋简体"/>
          <w:kern w:val="0"/>
          <w:sz w:val="44"/>
          <w:szCs w:val="44"/>
          <w:lang w:val="en-US" w:eastAsia="zh-CN"/>
        </w:rPr>
        <w:t>95</w:t>
      </w:r>
      <w:r>
        <w:rPr>
          <w:rFonts w:hint="eastAsia" w:ascii="方正小标宋简体" w:eastAsia="方正小标宋简体"/>
          <w:kern w:val="0"/>
          <w:sz w:val="44"/>
          <w:szCs w:val="44"/>
        </w:rPr>
        <w:t>号提案</w:t>
      </w:r>
      <w:r>
        <w:rPr>
          <w:rFonts w:hint="eastAsia" w:ascii="方正小标宋简体" w:eastAsia="方正小标宋简体"/>
          <w:kern w:val="0"/>
          <w:sz w:val="44"/>
          <w:szCs w:val="44"/>
          <w:lang w:eastAsia="zh-CN"/>
        </w:rPr>
        <w:t>协办意见</w:t>
      </w:r>
      <w:r>
        <w:rPr>
          <w:rFonts w:hint="eastAsia" w:ascii="方正小标宋简体" w:eastAsia="方正小标宋简体"/>
          <w:kern w:val="0"/>
          <w:sz w:val="44"/>
          <w:szCs w:val="44"/>
        </w:rPr>
        <w:t>答复的函</w:t>
      </w:r>
    </w:p>
    <w:p>
      <w:pPr>
        <w:autoSpaceDE w:val="0"/>
        <w:autoSpaceDN w:val="0"/>
        <w:adjustRightInd w:val="0"/>
        <w:snapToGrid w:val="0"/>
        <w:jc w:val="center"/>
        <w:rPr>
          <w:rFonts w:ascii="方正小标宋简体" w:eastAsia="方正小标宋简体"/>
          <w:kern w:val="0"/>
          <w:sz w:val="28"/>
          <w:szCs w:val="28"/>
        </w:rPr>
      </w:pPr>
    </w:p>
    <w:p>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ascii="仿宋_GB2312" w:eastAsia="仿宋_GB2312"/>
          <w:kern w:val="0"/>
          <w:sz w:val="32"/>
        </w:rPr>
      </w:pPr>
      <w:r>
        <w:rPr>
          <w:rFonts w:hint="eastAsia" w:ascii="仿宋_GB2312" w:eastAsia="仿宋_GB2312"/>
          <w:kern w:val="0"/>
          <w:sz w:val="32"/>
          <w:lang w:eastAsia="zh-CN"/>
        </w:rPr>
        <w:t>万安街道办事处</w:t>
      </w:r>
      <w:r>
        <w:rPr>
          <w:rFonts w:hint="eastAsia" w:ascii="仿宋_GB2312" w:eastAsia="仿宋_GB2312"/>
          <w:kern w:val="0"/>
          <w:sz w:val="32"/>
        </w:rPr>
        <w:t>：</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1"/>
        <w:jc w:val="left"/>
        <w:textAlignment w:val="auto"/>
        <w:rPr>
          <w:rFonts w:hint="eastAsia" w:ascii="仿宋_GB2312" w:eastAsia="仿宋_GB2312"/>
          <w:kern w:val="0"/>
          <w:sz w:val="32"/>
        </w:rPr>
      </w:pPr>
      <w:r>
        <w:rPr>
          <w:rFonts w:hint="eastAsia" w:ascii="仿宋_GB2312" w:eastAsia="仿宋_GB2312"/>
          <w:kern w:val="0"/>
          <w:sz w:val="32"/>
        </w:rPr>
        <w:t>刘青海</w:t>
      </w:r>
      <w:r>
        <w:rPr>
          <w:rFonts w:hint="eastAsia" w:ascii="仿宋_GB2312" w:eastAsia="仿宋_GB2312"/>
          <w:kern w:val="0"/>
          <w:sz w:val="32"/>
          <w:lang w:eastAsia="zh-CN"/>
        </w:rPr>
        <w:t>、</w:t>
      </w:r>
      <w:r>
        <w:rPr>
          <w:rFonts w:hint="eastAsia" w:ascii="仿宋_GB2312" w:eastAsia="仿宋_GB2312"/>
          <w:kern w:val="0"/>
          <w:sz w:val="32"/>
        </w:rPr>
        <w:t>杜贤武</w:t>
      </w:r>
      <w:r>
        <w:rPr>
          <w:rFonts w:hint="eastAsia" w:ascii="仿宋_GB2312" w:eastAsia="仿宋_GB2312"/>
          <w:kern w:val="0"/>
          <w:sz w:val="32"/>
          <w:lang w:eastAsia="zh-CN"/>
        </w:rPr>
        <w:t>委员</w:t>
      </w:r>
      <w:r>
        <w:rPr>
          <w:rFonts w:hint="eastAsia" w:ascii="仿宋_GB2312" w:eastAsia="仿宋_GB2312"/>
          <w:kern w:val="0"/>
          <w:sz w:val="32"/>
        </w:rPr>
        <w:t>提出的《</w:t>
      </w:r>
      <w:r>
        <w:rPr>
          <w:rFonts w:hint="eastAsia" w:ascii="仿宋_GB2312" w:eastAsia="仿宋_GB2312"/>
          <w:kern w:val="0"/>
          <w:sz w:val="32"/>
          <w:lang w:eastAsia="zh-CN"/>
        </w:rPr>
        <w:t>关于洛阳桥旅游桥南社区村头停车位扩建的建议</w:t>
      </w:r>
      <w:r>
        <w:rPr>
          <w:rFonts w:hint="eastAsia" w:ascii="仿宋_GB2312" w:eastAsia="仿宋_GB2312"/>
          <w:kern w:val="0"/>
          <w:sz w:val="32"/>
        </w:rPr>
        <w:t>》收悉。现答复如下：</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1"/>
        <w:jc w:val="left"/>
        <w:textAlignment w:val="auto"/>
        <w:rPr>
          <w:rFonts w:hint="eastAsia" w:ascii="仿宋_GB2312" w:eastAsia="仿宋_GB2312"/>
          <w:kern w:val="0"/>
          <w:sz w:val="32"/>
          <w:lang w:val="en-US" w:eastAsia="zh-CN"/>
        </w:rPr>
      </w:pPr>
      <w:r>
        <w:rPr>
          <w:rFonts w:hint="eastAsia" w:ascii="仿宋_GB2312" w:eastAsia="仿宋_GB2312"/>
          <w:kern w:val="0"/>
          <w:sz w:val="32"/>
          <w:lang w:eastAsia="zh-CN"/>
        </w:rPr>
        <w:t>洛阳桥是我区全国重点文物保护单位，也是泉州：宋元中国的世界海洋商贸中心的</w:t>
      </w:r>
      <w:r>
        <w:rPr>
          <w:rFonts w:hint="eastAsia" w:ascii="仿宋_GB2312" w:eastAsia="仿宋_GB2312"/>
          <w:kern w:val="0"/>
          <w:sz w:val="32"/>
          <w:lang w:val="en-US" w:eastAsia="zh-CN"/>
        </w:rPr>
        <w:t>22处世界文化遗产点之一。</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1"/>
        <w:jc w:val="left"/>
        <w:textAlignment w:val="auto"/>
        <w:rPr>
          <w:rFonts w:hint="eastAsia" w:ascii="仿宋_GB2312" w:eastAsia="仿宋_GB2312"/>
          <w:kern w:val="0"/>
          <w:sz w:val="32"/>
          <w:lang w:val="en-US" w:eastAsia="zh-CN"/>
        </w:rPr>
      </w:pPr>
      <w:r>
        <w:rPr>
          <w:rFonts w:hint="eastAsia" w:ascii="仿宋_GB2312" w:eastAsia="仿宋_GB2312"/>
          <w:kern w:val="0"/>
          <w:sz w:val="32"/>
          <w:lang w:val="en-US" w:eastAsia="zh-CN"/>
        </w:rPr>
        <w:t>该停车场位于洛阳桥文物保护建设控制地带内，也同时处于世界文化遗产缓冲区范围内。根据《文物保护法》（2024年版）第二章：“第二十九条　在文物保护单位的建设控制地带内进行建设工程，不得破坏文物保护单位的历史风貌；工程设计方案应当根据文物保护单位的级别和建设工程对文物保护单位历史风貌的影响程度，经国家规定的文物行政部门同意后，依法取得建设工程规划许可。</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1"/>
        <w:jc w:val="left"/>
        <w:textAlignment w:val="auto"/>
        <w:rPr>
          <w:rFonts w:hint="eastAsia" w:ascii="仿宋_GB2312" w:eastAsia="仿宋_GB2312"/>
          <w:kern w:val="0"/>
          <w:sz w:val="32"/>
          <w:lang w:val="en-US" w:eastAsia="zh-CN"/>
        </w:rPr>
      </w:pPr>
      <w:r>
        <w:rPr>
          <w:rFonts w:hint="eastAsia" w:ascii="仿宋_GB2312" w:eastAsia="仿宋_GB2312"/>
          <w:kern w:val="0"/>
          <w:sz w:val="32"/>
          <w:lang w:val="en-US" w:eastAsia="zh-CN"/>
        </w:rPr>
        <w:t>第三十条　在文物保护单位的保护范围和建设控制地带内，不得建设污染文物保护单位及其环境的设施，不得进行可能影响文物保护单位安全及其环境的活动。对已有的污染文物保护单位及其环境的设施，依照生态环境有关法律法规的规定处理。”</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1"/>
        <w:jc w:val="left"/>
        <w:textAlignment w:val="auto"/>
        <w:rPr>
          <w:rFonts w:hint="eastAsia" w:ascii="仿宋_GB2312" w:eastAsia="仿宋_GB2312"/>
          <w:kern w:val="0"/>
          <w:sz w:val="32"/>
          <w:lang w:val="en-US" w:eastAsia="zh-CN"/>
        </w:rPr>
      </w:pPr>
      <w:r>
        <w:rPr>
          <w:rFonts w:hint="eastAsia" w:ascii="仿宋_GB2312" w:eastAsia="仿宋_GB2312"/>
          <w:kern w:val="0"/>
          <w:sz w:val="32"/>
          <w:lang w:val="en-US" w:eastAsia="zh-CN"/>
        </w:rPr>
        <w:t>《“泉州：宋元中国的世界海洋商贸中心”世界遗产保护管理条例》：“第十三条　在缓冲区和景观控制区内进行建设工程的，工程设计方案应当符合泉州世界遗产保护管理规划、遗产点文物保护专项规划和建设管控专项细则，不得破坏遗产的历史风貌、安全环境和视廊景观。其中，属于缓冲区内的建设工程，依照有关规定报批；属于景观控制区内的建设工程，市、县（市、区）自然资源和规划主管部门在办理审批事项时，应当征求同级文物主管部门意见，文物主管部门应当在规定期限内答复。</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1"/>
        <w:jc w:val="left"/>
        <w:textAlignment w:val="auto"/>
        <w:rPr>
          <w:rFonts w:hint="eastAsia" w:ascii="仿宋_GB2312" w:eastAsia="仿宋_GB2312"/>
          <w:kern w:val="0"/>
          <w:sz w:val="32"/>
          <w:lang w:val="en-US" w:eastAsia="zh-CN"/>
        </w:rPr>
      </w:pPr>
      <w:r>
        <w:rPr>
          <w:rFonts w:hint="eastAsia" w:ascii="仿宋_GB2312" w:eastAsia="仿宋_GB2312"/>
          <w:kern w:val="0"/>
          <w:sz w:val="32"/>
          <w:lang w:val="en-US" w:eastAsia="zh-CN"/>
        </w:rPr>
        <w:t>遗产区和缓冲区内的建设工程，以及景观控制区内可能影响遗产突出普遍价值及其真实性、完整性的建设工程，履行报批程序时，建设单位应当同时提交该项目的遗产影响评估报告。”</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1"/>
        <w:jc w:val="left"/>
        <w:textAlignment w:val="auto"/>
        <w:rPr>
          <w:rFonts w:hint="default" w:ascii="仿宋_GB2312" w:eastAsia="仿宋_GB2312"/>
          <w:kern w:val="0"/>
          <w:sz w:val="32"/>
          <w:lang w:val="en-US" w:eastAsia="zh-CN"/>
        </w:rPr>
      </w:pPr>
      <w:r>
        <w:rPr>
          <w:rFonts w:hint="eastAsia" w:ascii="仿宋_GB2312" w:eastAsia="仿宋_GB2312"/>
          <w:kern w:val="0"/>
          <w:sz w:val="32"/>
          <w:lang w:val="en-US" w:eastAsia="zh-CN"/>
        </w:rPr>
        <w:t>因此，若要实施洛阳桥头停车位扩建项目，应该依法依规实行报批手续，准备该项目的施工方案，遗产与文物影响评估报告。</w:t>
      </w:r>
    </w:p>
    <w:p>
      <w:pPr>
        <w:keepNext w:val="0"/>
        <w:keepLines w:val="0"/>
        <w:pageBreakBefore w:val="0"/>
        <w:widowControl w:val="0"/>
        <w:kinsoku/>
        <w:wordWrap/>
        <w:overflowPunct/>
        <w:topLinePunct w:val="0"/>
        <w:autoSpaceDE w:val="0"/>
        <w:autoSpaceDN w:val="0"/>
        <w:bidi w:val="0"/>
        <w:adjustRightInd w:val="0"/>
        <w:snapToGrid/>
        <w:spacing w:line="520" w:lineRule="exact"/>
        <w:ind w:right="18" w:rightChars="0" w:firstLine="627" w:firstLineChars="196"/>
        <w:jc w:val="left"/>
        <w:textAlignment w:val="auto"/>
        <w:rPr>
          <w:rFonts w:hint="eastAsia" w:ascii="仿宋_GB2312" w:eastAsia="仿宋_GB2312"/>
          <w:kern w:val="0"/>
          <w:sz w:val="32"/>
        </w:rPr>
      </w:pPr>
      <w:r>
        <w:rPr>
          <w:rFonts w:hint="eastAsia" w:ascii="仿宋_GB2312" w:eastAsia="仿宋_GB2312"/>
          <w:kern w:val="0"/>
          <w:sz w:val="32"/>
          <w:lang w:eastAsia="zh-CN"/>
        </w:rPr>
        <w:t>下一步，我局将积极跟进停车场扩建项目实施，为游客和社区居民创造更加便捷、舒适的停车环境。</w:t>
      </w:r>
    </w:p>
    <w:p>
      <w:pPr>
        <w:keepNext w:val="0"/>
        <w:keepLines w:val="0"/>
        <w:pageBreakBefore w:val="0"/>
        <w:widowControl w:val="0"/>
        <w:kinsoku/>
        <w:wordWrap/>
        <w:overflowPunct/>
        <w:topLinePunct w:val="0"/>
        <w:autoSpaceDE w:val="0"/>
        <w:autoSpaceDN w:val="0"/>
        <w:bidi w:val="0"/>
        <w:adjustRightInd w:val="0"/>
        <w:snapToGrid/>
        <w:spacing w:line="520" w:lineRule="exact"/>
        <w:ind w:right="640" w:firstLine="627" w:firstLineChars="196"/>
        <w:jc w:val="left"/>
        <w:textAlignment w:val="auto"/>
        <w:rPr>
          <w:rFonts w:ascii="仿宋_GB2312" w:eastAsia="仿宋_GB2312"/>
          <w:kern w:val="0"/>
          <w:sz w:val="32"/>
        </w:rPr>
      </w:pPr>
      <w:r>
        <w:rPr>
          <w:rFonts w:hint="eastAsia" w:ascii="仿宋_GB2312" w:eastAsia="仿宋_GB2312"/>
          <w:kern w:val="0"/>
          <w:sz w:val="32"/>
        </w:rPr>
        <w:t>主要领导：吕培基</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27" w:firstLineChars="196"/>
        <w:jc w:val="left"/>
        <w:textAlignment w:val="auto"/>
        <w:rPr>
          <w:rFonts w:hint="eastAsia" w:ascii="仿宋_GB2312" w:eastAsia="仿宋_GB2312"/>
          <w:kern w:val="0"/>
          <w:sz w:val="32"/>
          <w:lang w:eastAsia="zh-CN"/>
        </w:rPr>
      </w:pPr>
      <w:r>
        <w:rPr>
          <w:rFonts w:hint="eastAsia" w:ascii="仿宋_GB2312" w:eastAsia="仿宋_GB2312"/>
          <w:kern w:val="0"/>
          <w:sz w:val="32"/>
        </w:rPr>
        <w:t>分管领导：</w:t>
      </w:r>
      <w:r>
        <w:rPr>
          <w:rFonts w:hint="eastAsia" w:ascii="仿宋_GB2312" w:eastAsia="仿宋_GB2312"/>
          <w:kern w:val="0"/>
          <w:sz w:val="32"/>
          <w:lang w:eastAsia="zh-CN"/>
        </w:rPr>
        <w:t>林晓玲</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kern w:val="0"/>
          <w:sz w:val="32"/>
          <w:lang w:eastAsia="zh-CN"/>
        </w:rPr>
      </w:pPr>
      <w:r>
        <w:rPr>
          <w:rFonts w:hint="eastAsia" w:ascii="仿宋_GB2312" w:eastAsia="仿宋_GB2312"/>
          <w:kern w:val="0"/>
          <w:sz w:val="32"/>
        </w:rPr>
        <w:t>经办人员：</w:t>
      </w:r>
      <w:r>
        <w:rPr>
          <w:rFonts w:hint="eastAsia" w:ascii="仿宋_GB2312" w:eastAsia="仿宋_GB2312"/>
          <w:kern w:val="0"/>
          <w:sz w:val="32"/>
          <w:lang w:eastAsia="zh-CN"/>
        </w:rPr>
        <w:t>陈洁圆</w:t>
      </w:r>
      <w:bookmarkStart w:id="0" w:name="_GoBack"/>
      <w:bookmarkEnd w:id="0"/>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ascii="仿宋_GB2312" w:eastAsia="仿宋_GB2312"/>
          <w:kern w:val="0"/>
          <w:sz w:val="32"/>
        </w:rPr>
      </w:pPr>
      <w:r>
        <w:rPr>
          <w:rFonts w:hint="eastAsia" w:ascii="仿宋_GB2312" w:eastAsia="仿宋_GB2312"/>
          <w:kern w:val="0"/>
          <w:sz w:val="32"/>
        </w:rPr>
        <w:t>联系电话：22631056</w:t>
      </w:r>
    </w:p>
    <w:p>
      <w:pPr>
        <w:keepNext w:val="0"/>
        <w:keepLines w:val="0"/>
        <w:pageBreakBefore w:val="0"/>
        <w:widowControl w:val="0"/>
        <w:kinsoku/>
        <w:wordWrap/>
        <w:overflowPunct/>
        <w:topLinePunct w:val="0"/>
        <w:autoSpaceDE w:val="0"/>
        <w:autoSpaceDN w:val="0"/>
        <w:bidi w:val="0"/>
        <w:adjustRightInd w:val="0"/>
        <w:spacing w:line="560" w:lineRule="exact"/>
        <w:jc w:val="left"/>
        <w:textAlignment w:val="auto"/>
        <w:rPr>
          <w:rFonts w:hint="eastAsia" w:ascii="仿宋_GB2312" w:eastAsia="仿宋_GB2312"/>
          <w:kern w:val="0"/>
          <w:sz w:val="32"/>
        </w:rPr>
      </w:pPr>
    </w:p>
    <w:p>
      <w:pPr>
        <w:keepNext w:val="0"/>
        <w:keepLines w:val="0"/>
        <w:pageBreakBefore w:val="0"/>
        <w:widowControl w:val="0"/>
        <w:kinsoku/>
        <w:wordWrap/>
        <w:overflowPunct/>
        <w:topLinePunct w:val="0"/>
        <w:autoSpaceDE w:val="0"/>
        <w:autoSpaceDN w:val="0"/>
        <w:bidi w:val="0"/>
        <w:adjustRightInd w:val="0"/>
        <w:spacing w:line="560" w:lineRule="exact"/>
        <w:ind w:firstLine="4160" w:firstLineChars="1300"/>
        <w:jc w:val="left"/>
        <w:textAlignment w:val="auto"/>
        <w:rPr>
          <w:rFonts w:hint="eastAsia" w:ascii="仿宋_GB2312" w:eastAsia="仿宋_GB2312"/>
          <w:kern w:val="0"/>
          <w:sz w:val="32"/>
          <w:lang w:val="en-US" w:eastAsia="zh-CN"/>
        </w:rPr>
      </w:pPr>
      <w:r>
        <w:rPr>
          <w:rFonts w:hint="eastAsia" w:ascii="仿宋_GB2312" w:eastAsia="仿宋_GB2312"/>
          <w:kern w:val="0"/>
          <w:sz w:val="32"/>
        </w:rPr>
        <w:t>泉州市洛江区文化体育和旅游</w:t>
      </w:r>
      <w:r>
        <w:rPr>
          <w:rFonts w:hint="eastAsia" w:ascii="仿宋_GB2312" w:eastAsia="仿宋_GB2312"/>
          <w:kern w:val="0"/>
          <w:sz w:val="32"/>
          <w:lang w:eastAsia="zh-CN"/>
        </w:rPr>
        <w:t>局</w:t>
      </w:r>
    </w:p>
    <w:p>
      <w:pPr>
        <w:keepNext w:val="0"/>
        <w:keepLines w:val="0"/>
        <w:pageBreakBefore w:val="0"/>
        <w:widowControl w:val="0"/>
        <w:kinsoku/>
        <w:wordWrap/>
        <w:overflowPunct/>
        <w:topLinePunct w:val="0"/>
        <w:autoSpaceDE w:val="0"/>
        <w:autoSpaceDN w:val="0"/>
        <w:bidi w:val="0"/>
        <w:adjustRightInd w:val="0"/>
        <w:spacing w:line="560" w:lineRule="exact"/>
        <w:ind w:firstLine="6080" w:firstLineChars="1900"/>
        <w:jc w:val="left"/>
        <w:textAlignment w:val="auto"/>
        <w:rPr>
          <w:rFonts w:hint="eastAsia" w:ascii="仿宋_GB2312" w:eastAsia="仿宋_GB2312"/>
          <w:kern w:val="0"/>
          <w:sz w:val="32"/>
        </w:rPr>
      </w:pPr>
      <w:r>
        <w:rPr>
          <w:rFonts w:hint="eastAsia" w:ascii="仿宋_GB2312" w:eastAsia="仿宋_GB2312"/>
          <w:kern w:val="0"/>
          <w:sz w:val="32"/>
        </w:rPr>
        <w:t>202</w:t>
      </w:r>
      <w:r>
        <w:rPr>
          <w:rFonts w:hint="eastAsia" w:ascii="仿宋_GB2312" w:eastAsia="仿宋_GB2312"/>
          <w:kern w:val="0"/>
          <w:sz w:val="32"/>
          <w:lang w:val="en-US" w:eastAsia="zh-CN"/>
        </w:rPr>
        <w:t>5</w:t>
      </w:r>
      <w:r>
        <w:rPr>
          <w:rFonts w:hint="eastAsia" w:ascii="仿宋_GB2312" w:eastAsia="仿宋_GB2312"/>
          <w:kern w:val="0"/>
          <w:sz w:val="32"/>
        </w:rPr>
        <w:t>年</w:t>
      </w:r>
      <w:r>
        <w:rPr>
          <w:rFonts w:hint="eastAsia" w:ascii="仿宋_GB2312" w:eastAsia="仿宋_GB2312"/>
          <w:kern w:val="0"/>
          <w:sz w:val="32"/>
          <w:lang w:val="en-US" w:eastAsia="zh-CN"/>
        </w:rPr>
        <w:t>3</w:t>
      </w:r>
      <w:r>
        <w:rPr>
          <w:rFonts w:hint="eastAsia" w:ascii="仿宋_GB2312" w:eastAsia="仿宋_GB2312"/>
          <w:kern w:val="0"/>
          <w:sz w:val="32"/>
        </w:rPr>
        <w:t>月</w:t>
      </w:r>
      <w:r>
        <w:rPr>
          <w:rFonts w:hint="eastAsia" w:ascii="仿宋_GB2312" w:eastAsia="仿宋_GB2312"/>
          <w:kern w:val="0"/>
          <w:sz w:val="32"/>
          <w:lang w:val="en-US" w:eastAsia="zh-CN"/>
        </w:rPr>
        <w:t>24</w:t>
      </w:r>
      <w:r>
        <w:rPr>
          <w:rFonts w:hint="eastAsia" w:ascii="仿宋_GB2312" w:eastAsia="仿宋_GB2312"/>
          <w:kern w:val="0"/>
          <w:sz w:val="32"/>
        </w:rPr>
        <w:t>日</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080" w:firstLineChars="1900"/>
        <w:jc w:val="left"/>
        <w:textAlignment w:val="auto"/>
        <w:rPr>
          <w:rFonts w:hint="eastAsia" w:ascii="仿宋_GB2312" w:eastAsia="仿宋_GB2312"/>
          <w:kern w:val="0"/>
          <w:sz w:val="32"/>
        </w:rPr>
      </w:pPr>
    </w:p>
    <w:p>
      <w:pPr>
        <w:pBdr>
          <w:top w:val="single" w:color="auto" w:sz="12" w:space="1"/>
        </w:pBdr>
        <w:tabs>
          <w:tab w:val="left" w:pos="720"/>
        </w:tabs>
        <w:ind w:firstLine="280" w:firstLineChars="100"/>
        <w:rPr>
          <w:rFonts w:hint="eastAsia" w:ascii="仿宋" w:hAnsi="仿宋" w:eastAsia="仿宋"/>
          <w:color w:val="000000"/>
          <w:sz w:val="28"/>
          <w:szCs w:val="28"/>
        </w:rPr>
      </w:pPr>
      <w:r>
        <w:rPr>
          <w:rFonts w:hint="eastAsia" w:ascii="仿宋" w:hAnsi="仿宋" w:eastAsia="仿宋"/>
          <w:color w:val="000000"/>
          <w:sz w:val="28"/>
          <w:szCs w:val="28"/>
        </w:rPr>
        <w:t>抄送：区政协提案文史办、区政府督查室。</w:t>
      </w:r>
    </w:p>
    <w:p>
      <w:pPr>
        <w:pBdr>
          <w:top w:val="single" w:color="auto" w:sz="8" w:space="1"/>
          <w:bottom w:val="single" w:color="auto" w:sz="12" w:space="1"/>
        </w:pBdr>
        <w:rPr>
          <w:rFonts w:hint="eastAsia" w:ascii="Times New Roman" w:hAnsi="Times New Roman" w:eastAsia="宋体" w:cs="Times New Roman"/>
          <w:kern w:val="2"/>
          <w:sz w:val="21"/>
          <w:szCs w:val="24"/>
          <w:lang w:val="en-US" w:eastAsia="zh-CN" w:bidi="ar-SA"/>
        </w:rPr>
      </w:pPr>
      <w:r>
        <w:rPr>
          <w:rFonts w:hint="eastAsia" w:ascii="仿宋" w:hAnsi="仿宋" w:eastAsia="仿宋"/>
          <w:color w:val="000000"/>
          <w:sz w:val="28"/>
          <w:szCs w:val="28"/>
        </w:rPr>
        <w:t xml:space="preserve">  泉州市洛江区文化体育和旅游局办公室       </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202</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24</w:t>
      </w:r>
      <w:r>
        <w:rPr>
          <w:rFonts w:hint="eastAsia" w:ascii="仿宋" w:hAnsi="仿宋" w:eastAsia="仿宋"/>
          <w:color w:val="000000"/>
          <w:sz w:val="28"/>
          <w:szCs w:val="28"/>
        </w:rPr>
        <w:t>日印发</w:t>
      </w:r>
    </w:p>
    <w:sectPr>
      <w:footerReference r:id="rId3" w:type="default"/>
      <w:footerReference r:id="rId4" w:type="even"/>
      <w:pgSz w:w="11906" w:h="16838"/>
      <w:pgMar w:top="1871" w:right="1304" w:bottom="1531" w:left="1304" w:header="851" w:footer="1247" w:gutter="0"/>
      <w:pgNumType w:fmt="numberInDash"/>
      <w:cols w:space="425" w:num="1"/>
      <w:docGrid w:type="linesAndChars" w:linePitch="610" w:charSpace="1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586" w:y="7"/>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- 1 -</w:t>
    </w:r>
    <w:r>
      <w:rPr>
        <w:rStyle w:val="8"/>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firstLine="280" w:firstLineChars="100"/>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- 2 -</w:t>
    </w:r>
    <w:r>
      <w:rPr>
        <w:rStyle w:val="8"/>
        <w:rFonts w:ascii="宋体" w:hAnsi="宋体"/>
        <w:sz w:val="28"/>
        <w:szCs w:val="2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20"/>
  <w:evenAndOddHeaders w:val="1"/>
  <w:drawingGridHorizontalSpacing w:val="211"/>
  <w:drawingGridVerticalSpacing w:val="30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0NzNlYTUxZTMyNTM0MTg5NjVlMmU2ZGRmMjFjY2MifQ=="/>
    <w:docVar w:name="KSO_WPS_MARK_KEY" w:val="5644a888-36e2-4268-9d8c-e742654873ba"/>
  </w:docVars>
  <w:rsids>
    <w:rsidRoot w:val="00F14572"/>
    <w:rsid w:val="000238B7"/>
    <w:rsid w:val="00060A05"/>
    <w:rsid w:val="00065B70"/>
    <w:rsid w:val="0006688A"/>
    <w:rsid w:val="000737B9"/>
    <w:rsid w:val="000A6FD5"/>
    <w:rsid w:val="000D07DD"/>
    <w:rsid w:val="000F37AF"/>
    <w:rsid w:val="0019583A"/>
    <w:rsid w:val="00197E69"/>
    <w:rsid w:val="001F447F"/>
    <w:rsid w:val="0026406D"/>
    <w:rsid w:val="00275073"/>
    <w:rsid w:val="002D1A38"/>
    <w:rsid w:val="002D2CE9"/>
    <w:rsid w:val="002E7160"/>
    <w:rsid w:val="002F34E8"/>
    <w:rsid w:val="003010DA"/>
    <w:rsid w:val="00336FB3"/>
    <w:rsid w:val="003500A0"/>
    <w:rsid w:val="00363CDE"/>
    <w:rsid w:val="003757E1"/>
    <w:rsid w:val="003B4120"/>
    <w:rsid w:val="003F2643"/>
    <w:rsid w:val="00425E6F"/>
    <w:rsid w:val="00467061"/>
    <w:rsid w:val="004726D6"/>
    <w:rsid w:val="00483539"/>
    <w:rsid w:val="004C08F4"/>
    <w:rsid w:val="004F769B"/>
    <w:rsid w:val="0050115F"/>
    <w:rsid w:val="0050500A"/>
    <w:rsid w:val="00540391"/>
    <w:rsid w:val="005715C8"/>
    <w:rsid w:val="005E5AFE"/>
    <w:rsid w:val="006826DF"/>
    <w:rsid w:val="0068742B"/>
    <w:rsid w:val="00693780"/>
    <w:rsid w:val="00696E54"/>
    <w:rsid w:val="006D3DAC"/>
    <w:rsid w:val="00771757"/>
    <w:rsid w:val="007C037F"/>
    <w:rsid w:val="007F211E"/>
    <w:rsid w:val="007F27E0"/>
    <w:rsid w:val="00807125"/>
    <w:rsid w:val="008127D1"/>
    <w:rsid w:val="00813B99"/>
    <w:rsid w:val="00820DFB"/>
    <w:rsid w:val="00820E96"/>
    <w:rsid w:val="00843CAD"/>
    <w:rsid w:val="008567BA"/>
    <w:rsid w:val="008A2FBA"/>
    <w:rsid w:val="00902D83"/>
    <w:rsid w:val="009664BF"/>
    <w:rsid w:val="00990F46"/>
    <w:rsid w:val="009E6C8B"/>
    <w:rsid w:val="00A113B0"/>
    <w:rsid w:val="00A82FC3"/>
    <w:rsid w:val="00AB7BA3"/>
    <w:rsid w:val="00AF1430"/>
    <w:rsid w:val="00B33475"/>
    <w:rsid w:val="00B45C15"/>
    <w:rsid w:val="00B766C6"/>
    <w:rsid w:val="00BB7C70"/>
    <w:rsid w:val="00C22318"/>
    <w:rsid w:val="00C43598"/>
    <w:rsid w:val="00C44DAE"/>
    <w:rsid w:val="00D034AD"/>
    <w:rsid w:val="00D447F4"/>
    <w:rsid w:val="00D72CF0"/>
    <w:rsid w:val="00DB13CE"/>
    <w:rsid w:val="00DB39C9"/>
    <w:rsid w:val="00DC2590"/>
    <w:rsid w:val="00DC36DC"/>
    <w:rsid w:val="00DD1B8E"/>
    <w:rsid w:val="00DE2C27"/>
    <w:rsid w:val="00DE6D07"/>
    <w:rsid w:val="00E1213C"/>
    <w:rsid w:val="00ED114A"/>
    <w:rsid w:val="00F14572"/>
    <w:rsid w:val="00F218AA"/>
    <w:rsid w:val="00F24589"/>
    <w:rsid w:val="00FC0624"/>
    <w:rsid w:val="00FE1A90"/>
    <w:rsid w:val="17F34819"/>
    <w:rsid w:val="248C08A3"/>
    <w:rsid w:val="2E1D3FC2"/>
    <w:rsid w:val="47977741"/>
    <w:rsid w:val="4DC05970"/>
    <w:rsid w:val="53FF1864"/>
    <w:rsid w:val="5C231D36"/>
    <w:rsid w:val="5DFDA682"/>
    <w:rsid w:val="6ABD741F"/>
    <w:rsid w:val="7FFB854F"/>
    <w:rsid w:val="9B6F9FD1"/>
    <w:rsid w:val="A7FB400D"/>
    <w:rsid w:val="AEFD7DAB"/>
    <w:rsid w:val="AFDC134A"/>
    <w:rsid w:val="AFEFEA1F"/>
    <w:rsid w:val="EFDFC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left"/>
    </w:pPr>
    <w:rPr>
      <w:rFonts w:ascii="+西文正文" w:hAnsi="+西文正文"/>
      <w:color w:val="000000" w:themeColor="text1"/>
      <w:kern w:val="44"/>
      <w:position w:val="-6"/>
      <w:szCs w:val="72"/>
      <w14:textFill>
        <w14:solidFill>
          <w14:schemeClr w14:val="tx1"/>
        </w14:solidFill>
      </w14:textFill>
    </w:rPr>
  </w:style>
  <w:style w:type="paragraph" w:styleId="3">
    <w:name w:val="Balloon Text"/>
    <w:basedOn w:val="1"/>
    <w:unhideWhenUsed/>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ca-22"/>
    <w:basedOn w:val="7"/>
    <w:qFormat/>
    <w:uiPriority w:val="99"/>
    <w:rPr>
      <w:rFonts w:cs="Times New Roman"/>
    </w:rPr>
  </w:style>
  <w:style w:type="character" w:customStyle="1" w:styleId="10">
    <w:name w:val="ca-32"/>
    <w:basedOn w:val="7"/>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38745;\AppData\Roaming\Microsoft\Templates\&#27849;&#27931;&#25919;&#2115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泉洛政办.dot</Template>
  <Company>微软中国</Company>
  <Pages>1</Pages>
  <Words>207</Words>
  <Characters>216</Characters>
  <Lines>46</Lines>
  <Paragraphs>13</Paragraphs>
  <TotalTime>1</TotalTime>
  <ScaleCrop>false</ScaleCrop>
  <LinksUpToDate>false</LinksUpToDate>
  <CharactersWithSpaces>229</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2023-12-26T03:30:00Z</dcterms:created>
  <dc:creator>静</dc:creator>
  <cp:lastModifiedBy>user</cp:lastModifiedBy>
  <cp:lastPrinted>2024-01-11T02:52:00Z</cp:lastPrinted>
  <dcterms:modified xsi:type="dcterms:W3CDTF">2025-03-24T11:53:55Z</dcterms:modified>
  <dc:title>泉洛政文〔20  〕  号</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61252799E5B672D653D7E067AAA0E5D6</vt:lpwstr>
  </property>
</Properties>
</file>